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2EB11">
      <w:pPr>
        <w:widowControl/>
        <w:spacing w:after="0" w:line="360" w:lineRule="auto"/>
        <w:jc w:val="center"/>
        <w:rPr>
          <w:rFonts w:ascii="方正小标宋简体" w:hAnsi="Times New Roman" w:eastAsia="方正小标宋简体" w:cs="Times New Roman"/>
          <w:sz w:val="44"/>
          <w:szCs w:val="44"/>
          <w:u w:color="000000"/>
          <w14:ligatures w14:val="none"/>
        </w:rPr>
      </w:pPr>
    </w:p>
    <w:p w14:paraId="7C590871">
      <w:pPr>
        <w:widowControl/>
        <w:spacing w:after="0" w:line="360" w:lineRule="auto"/>
        <w:jc w:val="center"/>
        <w:rPr>
          <w:rFonts w:ascii="方正小标宋简体" w:hAnsi="Times New Roman" w:eastAsia="方正小标宋简体" w:cs="Times New Roman"/>
          <w:sz w:val="44"/>
          <w:szCs w:val="44"/>
          <w:u w:color="000000"/>
          <w14:ligatures w14:val="none"/>
        </w:rPr>
      </w:pPr>
    </w:p>
    <w:p w14:paraId="227D6526">
      <w:pPr>
        <w:widowControl/>
        <w:spacing w:after="0" w:line="360" w:lineRule="auto"/>
        <w:jc w:val="center"/>
        <w:rPr>
          <w:rFonts w:ascii="方正小标宋简体" w:hAnsi="Times New Roman" w:eastAsia="方正小标宋简体" w:cs="Times New Roman"/>
          <w:sz w:val="44"/>
          <w:szCs w:val="44"/>
          <w:u w:color="000000"/>
          <w14:ligatures w14:val="none"/>
        </w:rPr>
      </w:pPr>
    </w:p>
    <w:p w14:paraId="4D1B697D">
      <w:pPr>
        <w:widowControl/>
        <w:snapToGrid w:val="0"/>
        <w:spacing w:after="0" w:line="240" w:lineRule="auto"/>
        <w:jc w:val="center"/>
        <w:rPr>
          <w:rFonts w:ascii="Times New Roman" w:hAnsi="Times New Roman" w:eastAsia="方正小标宋简体" w:cs="黑体"/>
          <w:bCs/>
          <w:sz w:val="52"/>
          <w:szCs w:val="52"/>
          <w:u w:color="000000"/>
          <w14:ligatures w14:val="none"/>
        </w:rPr>
      </w:pPr>
      <w:r>
        <w:rPr>
          <w:rFonts w:hint="eastAsia" w:ascii="方正小标宋简体" w:hAnsi="黑体" w:eastAsia="方正小标宋简体" w:cs="黑体"/>
          <w:bCs/>
          <w:sz w:val="52"/>
          <w:szCs w:val="52"/>
          <w:u w:color="000000"/>
          <w14:ligatures w14:val="none"/>
        </w:rPr>
        <w:t>晋城市交通运输“十</w:t>
      </w:r>
      <w:r>
        <w:rPr>
          <w:rFonts w:hint="eastAsia" w:ascii="Times New Roman" w:hAnsi="Times New Roman" w:eastAsia="方正小标宋简体" w:cs="黑体"/>
          <w:bCs/>
          <w:sz w:val="52"/>
          <w:szCs w:val="52"/>
          <w:u w:color="000000"/>
          <w14:ligatures w14:val="none"/>
        </w:rPr>
        <w:t>五</w:t>
      </w:r>
      <w:r>
        <w:rPr>
          <w:rFonts w:hint="eastAsia" w:ascii="方正小标宋简体" w:hAnsi="黑体" w:eastAsia="方正小标宋简体" w:cs="黑体"/>
          <w:bCs/>
          <w:sz w:val="52"/>
          <w:szCs w:val="52"/>
          <w:u w:color="000000"/>
          <w14:ligatures w14:val="none"/>
        </w:rPr>
        <w:t>五”发展规划</w:t>
      </w:r>
    </w:p>
    <w:p w14:paraId="2320A72B">
      <w:pPr>
        <w:widowControl/>
        <w:snapToGrid w:val="0"/>
        <w:spacing w:before="312" w:beforeLines="100" w:after="0" w:line="240" w:lineRule="auto"/>
        <w:jc w:val="center"/>
        <w:rPr>
          <w:rFonts w:hint="eastAsia" w:ascii="楷体_GB2312" w:hAnsi="Times New Roman" w:eastAsia="楷体_GB2312" w:cs="Times New Roman"/>
          <w:b/>
          <w:bCs/>
          <w:sz w:val="44"/>
          <w:szCs w:val="52"/>
          <w:u w:color="000000"/>
          <w:lang w:eastAsia="zh-CN"/>
          <w14:ligatures w14:val="none"/>
        </w:rPr>
      </w:pPr>
      <w:r>
        <w:rPr>
          <w:rFonts w:hint="eastAsia" w:ascii="楷体_GB2312" w:hAnsi="Times New Roman" w:eastAsia="楷体_GB2312" w:cs="Times New Roman"/>
          <w:b/>
          <w:bCs/>
          <w:sz w:val="44"/>
          <w:szCs w:val="52"/>
          <w:u w:color="000000"/>
          <w:lang w:eastAsia="zh-CN"/>
          <w14:ligatures w14:val="none"/>
        </w:rPr>
        <w:t>（征求意见稿</w:t>
      </w:r>
      <w:bookmarkStart w:id="87" w:name="_GoBack"/>
      <w:bookmarkEnd w:id="87"/>
      <w:r>
        <w:rPr>
          <w:rFonts w:hint="eastAsia" w:ascii="楷体_GB2312" w:hAnsi="Times New Roman" w:eastAsia="楷体_GB2312" w:cs="Times New Roman"/>
          <w:b/>
          <w:bCs/>
          <w:sz w:val="44"/>
          <w:szCs w:val="52"/>
          <w:u w:color="000000"/>
          <w:lang w:eastAsia="zh-CN"/>
          <w14:ligatures w14:val="none"/>
        </w:rPr>
        <w:t>）</w:t>
      </w:r>
    </w:p>
    <w:p w14:paraId="4C408BE9">
      <w:pPr>
        <w:widowControl/>
        <w:spacing w:after="0" w:line="360" w:lineRule="auto"/>
        <w:jc w:val="center"/>
        <w:rPr>
          <w:rFonts w:ascii="方正小标宋简体" w:hAnsi="Times New Roman" w:eastAsia="方正小标宋简体" w:cs="Times New Roman"/>
          <w:sz w:val="44"/>
          <w:szCs w:val="44"/>
          <w:u w:color="000000"/>
          <w14:ligatures w14:val="none"/>
        </w:rPr>
      </w:pPr>
    </w:p>
    <w:p w14:paraId="02D47331">
      <w:pPr>
        <w:widowControl/>
        <w:spacing w:after="0" w:line="360" w:lineRule="auto"/>
        <w:jc w:val="center"/>
        <w:rPr>
          <w:rFonts w:ascii="方正小标宋简体" w:hAnsi="Times New Roman" w:eastAsia="方正小标宋简体" w:cs="Times New Roman"/>
          <w:sz w:val="44"/>
          <w:szCs w:val="44"/>
          <w:u w:color="000000"/>
          <w14:ligatures w14:val="none"/>
        </w:rPr>
      </w:pPr>
    </w:p>
    <w:p w14:paraId="19041C69">
      <w:pPr>
        <w:widowControl/>
        <w:spacing w:after="0" w:line="360" w:lineRule="auto"/>
        <w:jc w:val="center"/>
        <w:rPr>
          <w:rFonts w:ascii="方正小标宋简体" w:hAnsi="Times New Roman" w:eastAsia="方正小标宋简体" w:cs="Times New Roman"/>
          <w:sz w:val="44"/>
          <w:szCs w:val="44"/>
          <w:u w:color="000000"/>
          <w14:ligatures w14:val="none"/>
        </w:rPr>
      </w:pPr>
    </w:p>
    <w:p w14:paraId="6E64F126">
      <w:pPr>
        <w:widowControl/>
        <w:spacing w:after="0" w:line="360" w:lineRule="auto"/>
        <w:jc w:val="center"/>
        <w:rPr>
          <w:rFonts w:ascii="方正小标宋简体" w:hAnsi="Times New Roman" w:eastAsia="方正小标宋简体" w:cs="Times New Roman"/>
          <w:sz w:val="44"/>
          <w:szCs w:val="44"/>
          <w:u w:color="000000"/>
          <w14:ligatures w14:val="none"/>
        </w:rPr>
      </w:pPr>
    </w:p>
    <w:p w14:paraId="20A43662">
      <w:pPr>
        <w:widowControl/>
        <w:spacing w:after="0" w:line="360" w:lineRule="auto"/>
        <w:jc w:val="center"/>
        <w:rPr>
          <w:rFonts w:ascii="方正小标宋简体" w:hAnsi="Times New Roman" w:eastAsia="方正小标宋简体" w:cs="Times New Roman"/>
          <w:sz w:val="44"/>
          <w:szCs w:val="44"/>
          <w:u w:color="000000"/>
          <w14:ligatures w14:val="none"/>
        </w:rPr>
      </w:pPr>
    </w:p>
    <w:p w14:paraId="09F0EE06">
      <w:pPr>
        <w:widowControl/>
        <w:spacing w:after="0" w:line="360" w:lineRule="auto"/>
        <w:jc w:val="center"/>
        <w:rPr>
          <w:rFonts w:ascii="方正小标宋简体" w:hAnsi="Times New Roman" w:eastAsia="方正小标宋简体" w:cs="Times New Roman"/>
          <w:sz w:val="44"/>
          <w:szCs w:val="44"/>
          <w:u w:color="000000"/>
          <w14:ligatures w14:val="none"/>
        </w:rPr>
      </w:pPr>
    </w:p>
    <w:p w14:paraId="0E4F5659">
      <w:pPr>
        <w:widowControl/>
        <w:spacing w:after="0" w:line="360" w:lineRule="auto"/>
        <w:jc w:val="center"/>
        <w:rPr>
          <w:rFonts w:ascii="方正小标宋简体" w:hAnsi="Times New Roman" w:eastAsia="方正小标宋简体" w:cs="Times New Roman"/>
          <w:sz w:val="44"/>
          <w:szCs w:val="44"/>
          <w:u w:color="000000"/>
          <w14:ligatures w14:val="none"/>
        </w:rPr>
      </w:pPr>
    </w:p>
    <w:p w14:paraId="6688024D">
      <w:pPr>
        <w:widowControl/>
        <w:spacing w:after="0" w:line="360" w:lineRule="auto"/>
        <w:jc w:val="center"/>
        <w:rPr>
          <w:rFonts w:ascii="方正小标宋简体" w:hAnsi="Times New Roman" w:eastAsia="方正小标宋简体" w:cs="Times New Roman"/>
          <w:sz w:val="44"/>
          <w:szCs w:val="44"/>
          <w:u w:color="000000"/>
          <w14:ligatures w14:val="none"/>
        </w:rPr>
      </w:pPr>
    </w:p>
    <w:p w14:paraId="18B6B667">
      <w:pPr>
        <w:widowControl/>
        <w:spacing w:after="0" w:line="360" w:lineRule="auto"/>
        <w:jc w:val="center"/>
        <w:rPr>
          <w:rFonts w:ascii="Times New Roman" w:hAnsi="Times New Roman" w:eastAsia="楷体_GB2312" w:cs="Times New Roman"/>
          <w:b/>
          <w:bCs/>
          <w:sz w:val="32"/>
          <w:szCs w:val="32"/>
          <w:u w:color="000000"/>
          <w14:ligatures w14:val="none"/>
        </w:rPr>
      </w:pPr>
      <w:r>
        <w:rPr>
          <w:rFonts w:hint="eastAsia" w:ascii="Times New Roman" w:hAnsi="Times New Roman" w:eastAsia="楷体_GB2312" w:cs="Times New Roman"/>
          <w:b/>
          <w:bCs/>
          <w:sz w:val="32"/>
          <w:szCs w:val="32"/>
          <w:u w:color="000000"/>
          <w14:ligatures w14:val="none"/>
        </w:rPr>
        <w:t>晋城市交通运输局</w:t>
      </w:r>
    </w:p>
    <w:p w14:paraId="6AF2A0B5">
      <w:pPr>
        <w:spacing w:after="0" w:line="360" w:lineRule="auto"/>
        <w:jc w:val="center"/>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u w:color="000000"/>
          <w14:ligatures w14:val="none"/>
        </w:rPr>
        <w:t>2026</w:t>
      </w:r>
      <w:r>
        <w:rPr>
          <w:rFonts w:ascii="Times New Roman" w:hAnsi="Times New Roman" w:eastAsia="楷体_GB2312" w:cs="Times New Roman"/>
          <w:b/>
          <w:bCs/>
          <w:sz w:val="32"/>
          <w:szCs w:val="32"/>
          <w:u w:color="000000"/>
          <w14:ligatures w14:val="none"/>
        </w:rPr>
        <w:t>年</w:t>
      </w:r>
      <w:r>
        <w:rPr>
          <w:rFonts w:hint="eastAsia" w:ascii="Times New Roman" w:hAnsi="Times New Roman" w:eastAsia="楷体_GB2312" w:cs="Times New Roman"/>
          <w:b/>
          <w:bCs/>
          <w:sz w:val="32"/>
          <w:szCs w:val="32"/>
          <w:u w:color="000000"/>
          <w:lang w:val="en-US" w:eastAsia="zh-CN"/>
          <w14:ligatures w14:val="none"/>
        </w:rPr>
        <w:t>4</w:t>
      </w:r>
      <w:r>
        <w:rPr>
          <w:rFonts w:ascii="Times New Roman" w:hAnsi="Times New Roman" w:eastAsia="楷体_GB2312" w:cs="Times New Roman"/>
          <w:b/>
          <w:bCs/>
          <w:sz w:val="32"/>
          <w:szCs w:val="32"/>
          <w:u w:color="000000"/>
          <w14:ligatures w14:val="none"/>
        </w:rPr>
        <w:t>月</w:t>
      </w:r>
    </w:p>
    <w:p w14:paraId="2E1D0010">
      <w:pPr>
        <w:jc w:val="center"/>
        <w:rPr>
          <w:rFonts w:ascii="宋体" w:hAnsi="宋体" w:eastAsia="宋体"/>
          <w:b/>
          <w:bCs/>
          <w:sz w:val="32"/>
          <w:szCs w:val="44"/>
        </w:rPr>
        <w:sectPr>
          <w:pgSz w:w="11906" w:h="16838"/>
          <w:pgMar w:top="1440" w:right="1588" w:bottom="1440" w:left="1588" w:header="851" w:footer="992" w:gutter="0"/>
          <w:pgNumType w:start="1"/>
          <w:cols w:space="425" w:num="1"/>
          <w:docGrid w:type="lines" w:linePitch="312" w:charSpace="0"/>
        </w:sectPr>
      </w:pPr>
    </w:p>
    <w:p w14:paraId="0A2B3EFC">
      <w:pPr>
        <w:widowControl/>
        <w:spacing w:before="190" w:beforeLines="50" w:after="190" w:afterLines="50" w:line="360" w:lineRule="auto"/>
        <w:jc w:val="center"/>
        <w:rPr>
          <w:rFonts w:ascii="Times New Roman" w:hAnsi="Times New Roman" w:eastAsia="黑体" w:cs="Times New Roman"/>
          <w:sz w:val="44"/>
          <w:szCs w:val="24"/>
          <w:u w:color="000000"/>
          <w14:ligatures w14:val="none"/>
        </w:rPr>
      </w:pPr>
      <w:r>
        <w:rPr>
          <w:rFonts w:ascii="Times New Roman" w:hAnsi="Times New Roman" w:eastAsia="黑体" w:cs="Times New Roman"/>
          <w:sz w:val="44"/>
          <w:szCs w:val="24"/>
          <w:u w:color="000000"/>
          <w14:ligatures w14:val="none"/>
        </w:rPr>
        <w:t>目</w:t>
      </w:r>
      <w:r>
        <w:rPr>
          <w:rFonts w:hint="eastAsia" w:ascii="Times New Roman" w:hAnsi="Times New Roman" w:eastAsia="黑体" w:cs="Times New Roman"/>
          <w:sz w:val="44"/>
          <w:szCs w:val="24"/>
          <w:u w:color="000000"/>
          <w14:ligatures w14:val="none"/>
        </w:rPr>
        <w:t xml:space="preserve">  </w:t>
      </w:r>
      <w:r>
        <w:rPr>
          <w:rFonts w:ascii="Times New Roman" w:hAnsi="Times New Roman" w:eastAsia="黑体" w:cs="Times New Roman"/>
          <w:sz w:val="44"/>
          <w:szCs w:val="24"/>
          <w:u w:color="000000"/>
          <w14:ligatures w14:val="none"/>
        </w:rPr>
        <w:t>录</w:t>
      </w:r>
    </w:p>
    <w:p w14:paraId="7706A195">
      <w:pPr>
        <w:pStyle w:val="17"/>
        <w:tabs>
          <w:tab w:val="right" w:leader="dot" w:pos="8296"/>
        </w:tabs>
        <w:spacing w:line="600" w:lineRule="exact"/>
        <w:rPr>
          <w:rFonts w:ascii="Times New Roman" w:hAnsi="Times New Roman"/>
          <w:sz w:val="32"/>
          <w:szCs w:val="32"/>
          <w14:ligatures w14:val="none"/>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TOC \o "1-2" \u </w:instrText>
      </w:r>
      <w:r>
        <w:rPr>
          <w:rFonts w:ascii="Times New Roman" w:hAnsi="Times New Roman" w:cs="Times New Roman"/>
          <w:sz w:val="32"/>
          <w:szCs w:val="32"/>
        </w:rPr>
        <w:fldChar w:fldCharType="separate"/>
      </w:r>
      <w:r>
        <w:rPr>
          <w:rFonts w:hint="eastAsia" w:ascii="Times New Roman" w:hAnsi="Times New Roman" w:eastAsia="黑体" w:cs="Times New Roman"/>
          <w:sz w:val="32"/>
          <w:szCs w:val="32"/>
        </w:rPr>
        <w:t>一、发展基础</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_Toc226561963 \h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p>
    <w:p w14:paraId="5C1CEE19">
      <w:pPr>
        <w:pStyle w:val="17"/>
        <w:tabs>
          <w:tab w:val="right" w:leader="dot" w:pos="8296"/>
        </w:tabs>
        <w:spacing w:line="600" w:lineRule="exact"/>
        <w:rPr>
          <w:rFonts w:ascii="Times New Roman" w:hAnsi="Times New Roman"/>
          <w:sz w:val="32"/>
          <w:szCs w:val="32"/>
          <w14:ligatures w14:val="none"/>
        </w:rPr>
      </w:pPr>
      <w:r>
        <w:rPr>
          <w:rFonts w:hint="eastAsia" w:ascii="Times New Roman" w:hAnsi="Times New Roman" w:eastAsia="黑体" w:cs="Times New Roman"/>
          <w:sz w:val="32"/>
          <w:szCs w:val="32"/>
        </w:rPr>
        <w:t>二、发展环境</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_Toc226561964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p>
    <w:p w14:paraId="0404FC05">
      <w:pPr>
        <w:pStyle w:val="20"/>
        <w:tabs>
          <w:tab w:val="right" w:leader="dot" w:pos="8296"/>
        </w:tabs>
        <w:spacing w:line="600" w:lineRule="exact"/>
        <w:rPr>
          <w:rFonts w:ascii="Times New Roman" w:hAnsi="Times New Roman"/>
          <w:sz w:val="32"/>
          <w:szCs w:val="32"/>
          <w14:ligatures w14:val="none"/>
        </w:rPr>
      </w:pPr>
      <w:r>
        <w:rPr>
          <w:rFonts w:hint="eastAsia" w:ascii="Times New Roman" w:hAnsi="Times New Roman" w:eastAsia="楷体_GB2312" w:cs="仿宋_GB2312"/>
          <w:bCs/>
          <w:sz w:val="32"/>
          <w:szCs w:val="32"/>
        </w:rPr>
        <w:t>（一）面临形势</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_Toc226561965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p>
    <w:p w14:paraId="42A42F18">
      <w:pPr>
        <w:pStyle w:val="20"/>
        <w:tabs>
          <w:tab w:val="right" w:leader="dot" w:pos="8296"/>
        </w:tabs>
        <w:spacing w:line="600" w:lineRule="exact"/>
        <w:rPr>
          <w:rFonts w:ascii="Times New Roman" w:hAnsi="Times New Roman"/>
          <w:sz w:val="32"/>
          <w:szCs w:val="32"/>
          <w14:ligatures w14:val="none"/>
        </w:rPr>
      </w:pPr>
      <w:r>
        <w:rPr>
          <w:rFonts w:hint="eastAsia" w:ascii="Times New Roman" w:hAnsi="Times New Roman" w:eastAsia="楷体_GB2312" w:cs="仿宋_GB2312"/>
          <w:bCs/>
          <w:sz w:val="32"/>
          <w:szCs w:val="32"/>
        </w:rPr>
        <w:t>（二）发展要求</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_Toc226561966 \h </w:instrText>
      </w:r>
      <w:r>
        <w:rPr>
          <w:rFonts w:ascii="Times New Roman" w:hAnsi="Times New Roman"/>
          <w:sz w:val="32"/>
          <w:szCs w:val="32"/>
        </w:rPr>
        <w:fldChar w:fldCharType="separate"/>
      </w:r>
      <w:r>
        <w:rPr>
          <w:rFonts w:ascii="Times New Roman" w:hAnsi="Times New Roman"/>
          <w:sz w:val="32"/>
          <w:szCs w:val="32"/>
        </w:rPr>
        <w:t>8</w:t>
      </w:r>
      <w:r>
        <w:rPr>
          <w:rFonts w:ascii="Times New Roman" w:hAnsi="Times New Roman"/>
          <w:sz w:val="32"/>
          <w:szCs w:val="32"/>
        </w:rPr>
        <w:fldChar w:fldCharType="end"/>
      </w:r>
    </w:p>
    <w:p w14:paraId="353619B9">
      <w:pPr>
        <w:pStyle w:val="17"/>
        <w:tabs>
          <w:tab w:val="right" w:leader="dot" w:pos="8296"/>
        </w:tabs>
        <w:spacing w:line="600" w:lineRule="exact"/>
        <w:rPr>
          <w:rFonts w:ascii="Times New Roman" w:hAnsi="Times New Roman"/>
          <w:sz w:val="32"/>
          <w:szCs w:val="32"/>
          <w14:ligatures w14:val="none"/>
        </w:rPr>
      </w:pPr>
      <w:r>
        <w:rPr>
          <w:rFonts w:hint="eastAsia" w:ascii="Times New Roman" w:hAnsi="Times New Roman" w:eastAsia="黑体" w:cs="Times New Roman"/>
          <w:sz w:val="32"/>
          <w:szCs w:val="32"/>
        </w:rPr>
        <w:t>三、总体要求</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_Toc226561967 \h </w:instrText>
      </w:r>
      <w:r>
        <w:rPr>
          <w:rFonts w:ascii="Times New Roman" w:hAnsi="Times New Roman"/>
          <w:sz w:val="32"/>
          <w:szCs w:val="32"/>
        </w:rPr>
        <w:fldChar w:fldCharType="separate"/>
      </w:r>
      <w:r>
        <w:rPr>
          <w:rFonts w:ascii="Times New Roman" w:hAnsi="Times New Roman"/>
          <w:sz w:val="32"/>
          <w:szCs w:val="32"/>
        </w:rPr>
        <w:t>11</w:t>
      </w:r>
      <w:r>
        <w:rPr>
          <w:rFonts w:ascii="Times New Roman" w:hAnsi="Times New Roman"/>
          <w:sz w:val="32"/>
          <w:szCs w:val="32"/>
        </w:rPr>
        <w:fldChar w:fldCharType="end"/>
      </w:r>
    </w:p>
    <w:p w14:paraId="2FF73EE2">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（一）指导思想</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_Toc226561968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11</w:t>
      </w:r>
      <w:r>
        <w:rPr>
          <w:rFonts w:ascii="Times New Roman" w:hAnsi="Times New Roman" w:eastAsia="楷体_GB2312" w:cs="仿宋_GB2312"/>
          <w:bCs/>
          <w:sz w:val="32"/>
          <w:szCs w:val="32"/>
        </w:rPr>
        <w:fldChar w:fldCharType="end"/>
      </w:r>
    </w:p>
    <w:p w14:paraId="0F7A003B">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（二）基本原则</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_Toc226561969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11</w:t>
      </w:r>
      <w:r>
        <w:rPr>
          <w:rFonts w:ascii="Times New Roman" w:hAnsi="Times New Roman" w:eastAsia="楷体_GB2312" w:cs="仿宋_GB2312"/>
          <w:bCs/>
          <w:sz w:val="32"/>
          <w:szCs w:val="32"/>
        </w:rPr>
        <w:fldChar w:fldCharType="end"/>
      </w:r>
    </w:p>
    <w:p w14:paraId="73271022">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（三）发展目标</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_Toc226561970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12</w:t>
      </w:r>
      <w:r>
        <w:rPr>
          <w:rFonts w:ascii="Times New Roman" w:hAnsi="Times New Roman" w:eastAsia="楷体_GB2312" w:cs="仿宋_GB2312"/>
          <w:bCs/>
          <w:sz w:val="32"/>
          <w:szCs w:val="32"/>
        </w:rPr>
        <w:fldChar w:fldCharType="end"/>
      </w:r>
    </w:p>
    <w:p w14:paraId="24A2D686">
      <w:pPr>
        <w:pStyle w:val="17"/>
        <w:tabs>
          <w:tab w:val="right" w:leader="dot" w:pos="8296"/>
        </w:tabs>
        <w:spacing w:line="600" w:lineRule="exact"/>
        <w:rPr>
          <w:rFonts w:ascii="Times New Roman" w:hAnsi="Times New Roman"/>
          <w:sz w:val="32"/>
          <w:szCs w:val="32"/>
          <w14:ligatures w14:val="none"/>
        </w:rPr>
      </w:pPr>
      <w:r>
        <w:rPr>
          <w:rFonts w:hint="eastAsia" w:ascii="Times New Roman" w:hAnsi="Times New Roman" w:eastAsia="黑体" w:cs="Times New Roman"/>
          <w:sz w:val="32"/>
          <w:szCs w:val="32"/>
        </w:rPr>
        <w:t>四、重点任务</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_Toc226561971 \h </w:instrText>
      </w:r>
      <w:r>
        <w:rPr>
          <w:rFonts w:ascii="Times New Roman" w:hAnsi="Times New Roman"/>
          <w:sz w:val="32"/>
          <w:szCs w:val="32"/>
        </w:rPr>
        <w:fldChar w:fldCharType="separate"/>
      </w:r>
      <w:r>
        <w:rPr>
          <w:rFonts w:ascii="Times New Roman" w:hAnsi="Times New Roman"/>
          <w:sz w:val="32"/>
          <w:szCs w:val="32"/>
        </w:rPr>
        <w:t>15</w:t>
      </w:r>
      <w:r>
        <w:rPr>
          <w:rFonts w:ascii="Times New Roman" w:hAnsi="Times New Roman"/>
          <w:sz w:val="32"/>
          <w:szCs w:val="32"/>
        </w:rPr>
        <w:fldChar w:fldCharType="end"/>
      </w:r>
    </w:p>
    <w:p w14:paraId="16BD1C5B">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（一）完善综合立体交通网</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_Toc226561972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15</w:t>
      </w:r>
      <w:r>
        <w:rPr>
          <w:rFonts w:ascii="Times New Roman" w:hAnsi="Times New Roman" w:eastAsia="楷体_GB2312" w:cs="仿宋_GB2312"/>
          <w:bCs/>
          <w:sz w:val="32"/>
          <w:szCs w:val="32"/>
        </w:rPr>
        <w:fldChar w:fldCharType="end"/>
      </w:r>
    </w:p>
    <w:p w14:paraId="36149078">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（二）优化运输供给结构</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_Toc226561973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17</w:t>
      </w:r>
      <w:r>
        <w:rPr>
          <w:rFonts w:ascii="Times New Roman" w:hAnsi="Times New Roman" w:eastAsia="楷体_GB2312" w:cs="仿宋_GB2312"/>
          <w:bCs/>
          <w:sz w:val="32"/>
          <w:szCs w:val="32"/>
        </w:rPr>
        <w:fldChar w:fldCharType="end"/>
      </w:r>
    </w:p>
    <w:p w14:paraId="2044CB53">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（三）发展交通新质生产力</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_Toc226561974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18</w:t>
      </w:r>
      <w:r>
        <w:rPr>
          <w:rFonts w:ascii="Times New Roman" w:hAnsi="Times New Roman" w:eastAsia="楷体_GB2312" w:cs="仿宋_GB2312"/>
          <w:bCs/>
          <w:sz w:val="32"/>
          <w:szCs w:val="32"/>
        </w:rPr>
        <w:fldChar w:fldCharType="end"/>
      </w:r>
    </w:p>
    <w:p w14:paraId="0311F55B">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（四）推动绿色低碳转型</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_Toc226561975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20</w:t>
      </w:r>
      <w:r>
        <w:rPr>
          <w:rFonts w:ascii="Times New Roman" w:hAnsi="Times New Roman" w:eastAsia="楷体_GB2312" w:cs="仿宋_GB2312"/>
          <w:bCs/>
          <w:sz w:val="32"/>
          <w:szCs w:val="32"/>
        </w:rPr>
        <w:fldChar w:fldCharType="end"/>
      </w:r>
    </w:p>
    <w:p w14:paraId="7484ACE9">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（五）提升安全韧性水平</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_Toc226561976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21</w:t>
      </w:r>
      <w:r>
        <w:rPr>
          <w:rFonts w:ascii="Times New Roman" w:hAnsi="Times New Roman" w:eastAsia="楷体_GB2312" w:cs="仿宋_GB2312"/>
          <w:bCs/>
          <w:sz w:val="32"/>
          <w:szCs w:val="32"/>
        </w:rPr>
        <w:fldChar w:fldCharType="end"/>
      </w:r>
    </w:p>
    <w:p w14:paraId="027AA4F7">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（六）提高行业治理效能</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_Toc226561977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22</w:t>
      </w:r>
      <w:r>
        <w:rPr>
          <w:rFonts w:ascii="Times New Roman" w:hAnsi="Times New Roman" w:eastAsia="楷体_GB2312" w:cs="仿宋_GB2312"/>
          <w:bCs/>
          <w:sz w:val="32"/>
          <w:szCs w:val="32"/>
        </w:rPr>
        <w:fldChar w:fldCharType="end"/>
      </w:r>
    </w:p>
    <w:p w14:paraId="7B23333F">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（七）推动交通消费扩容</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_Toc226561978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24</w:t>
      </w:r>
      <w:r>
        <w:rPr>
          <w:rFonts w:ascii="Times New Roman" w:hAnsi="Times New Roman" w:eastAsia="楷体_GB2312" w:cs="仿宋_GB2312"/>
          <w:bCs/>
          <w:sz w:val="32"/>
          <w:szCs w:val="32"/>
        </w:rPr>
        <w:fldChar w:fldCharType="end"/>
      </w:r>
    </w:p>
    <w:p w14:paraId="002E77E5">
      <w:pPr>
        <w:pStyle w:val="17"/>
        <w:tabs>
          <w:tab w:val="right" w:leader="dot" w:pos="8296"/>
        </w:tabs>
        <w:spacing w:line="600" w:lineRule="exact"/>
        <w:rPr>
          <w:rFonts w:ascii="Times New Roman" w:hAnsi="Times New Roman"/>
          <w:sz w:val="32"/>
          <w:szCs w:val="32"/>
          <w14:ligatures w14:val="none"/>
        </w:rPr>
      </w:pPr>
      <w:r>
        <w:rPr>
          <w:rFonts w:hint="eastAsia" w:ascii="Times New Roman" w:hAnsi="Times New Roman" w:eastAsia="黑体" w:cs="Times New Roman"/>
          <w:sz w:val="32"/>
          <w:szCs w:val="32"/>
        </w:rPr>
        <w:t>五、保障措施</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_Toc226561979 \h </w:instrText>
      </w:r>
      <w:r>
        <w:rPr>
          <w:rFonts w:ascii="Times New Roman" w:hAnsi="Times New Roman"/>
          <w:sz w:val="32"/>
          <w:szCs w:val="32"/>
        </w:rPr>
        <w:fldChar w:fldCharType="separate"/>
      </w:r>
      <w:r>
        <w:rPr>
          <w:rFonts w:ascii="Times New Roman" w:hAnsi="Times New Roman"/>
          <w:sz w:val="32"/>
          <w:szCs w:val="32"/>
        </w:rPr>
        <w:t>26</w:t>
      </w:r>
      <w:r>
        <w:rPr>
          <w:rFonts w:ascii="Times New Roman" w:hAnsi="Times New Roman"/>
          <w:sz w:val="32"/>
          <w:szCs w:val="32"/>
        </w:rPr>
        <w:fldChar w:fldCharType="end"/>
      </w:r>
    </w:p>
    <w:p w14:paraId="0643ECEF">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（一）坚持党的领导</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_Toc226561980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26</w:t>
      </w:r>
      <w:r>
        <w:rPr>
          <w:rFonts w:ascii="Times New Roman" w:hAnsi="Times New Roman" w:eastAsia="楷体_GB2312" w:cs="仿宋_GB2312"/>
          <w:bCs/>
          <w:sz w:val="32"/>
          <w:szCs w:val="32"/>
        </w:rPr>
        <w:fldChar w:fldCharType="end"/>
      </w:r>
    </w:p>
    <w:p w14:paraId="446F2370">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（二）加强组织协调</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_Toc226561981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26</w:t>
      </w:r>
      <w:r>
        <w:rPr>
          <w:rFonts w:ascii="Times New Roman" w:hAnsi="Times New Roman" w:eastAsia="楷体_GB2312" w:cs="仿宋_GB2312"/>
          <w:bCs/>
          <w:sz w:val="32"/>
          <w:szCs w:val="32"/>
        </w:rPr>
        <w:fldChar w:fldCharType="end"/>
      </w:r>
    </w:p>
    <w:p w14:paraId="048FEDA6">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（三）强化要素保障</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_Toc226561982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26</w:t>
      </w:r>
      <w:r>
        <w:rPr>
          <w:rFonts w:ascii="Times New Roman" w:hAnsi="Times New Roman" w:eastAsia="楷体_GB2312" w:cs="仿宋_GB2312"/>
          <w:bCs/>
          <w:sz w:val="32"/>
          <w:szCs w:val="32"/>
        </w:rPr>
        <w:fldChar w:fldCharType="end"/>
      </w:r>
    </w:p>
    <w:p w14:paraId="43776DD7">
      <w:pPr>
        <w:pStyle w:val="20"/>
        <w:tabs>
          <w:tab w:val="right" w:leader="dot" w:pos="8296"/>
        </w:tabs>
        <w:spacing w:line="600" w:lineRule="exact"/>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（四）做好实施指导</w:t>
      </w:r>
      <w:r>
        <w:rPr>
          <w:rFonts w:ascii="Times New Roman" w:hAnsi="Times New Roman" w:eastAsia="楷体_GB2312" w:cs="仿宋_GB2312"/>
          <w:bCs/>
          <w:sz w:val="32"/>
          <w:szCs w:val="32"/>
        </w:rPr>
        <w:tab/>
      </w:r>
      <w:r>
        <w:rPr>
          <w:rFonts w:ascii="Times New Roman" w:hAnsi="Times New Roman" w:eastAsia="楷体_GB2312" w:cs="仿宋_GB2312"/>
          <w:bCs/>
          <w:sz w:val="32"/>
          <w:szCs w:val="32"/>
        </w:rPr>
        <w:fldChar w:fldCharType="begin"/>
      </w:r>
      <w:r>
        <w:rPr>
          <w:rFonts w:ascii="Times New Roman" w:hAnsi="Times New Roman" w:eastAsia="楷体_GB2312" w:cs="仿宋_GB2312"/>
          <w:bCs/>
          <w:sz w:val="32"/>
          <w:szCs w:val="32"/>
        </w:rPr>
        <w:instrText xml:space="preserve"> PAGEREF _Toc226561983 \h </w:instrText>
      </w:r>
      <w:r>
        <w:rPr>
          <w:rFonts w:ascii="Times New Roman" w:hAnsi="Times New Roman" w:eastAsia="楷体_GB2312" w:cs="仿宋_GB2312"/>
          <w:bCs/>
          <w:sz w:val="32"/>
          <w:szCs w:val="32"/>
        </w:rPr>
        <w:fldChar w:fldCharType="separate"/>
      </w:r>
      <w:r>
        <w:rPr>
          <w:rFonts w:ascii="Times New Roman" w:hAnsi="Times New Roman" w:eastAsia="楷体_GB2312" w:cs="仿宋_GB2312"/>
          <w:bCs/>
          <w:sz w:val="32"/>
          <w:szCs w:val="32"/>
        </w:rPr>
        <w:t>26</w:t>
      </w:r>
      <w:r>
        <w:rPr>
          <w:rFonts w:ascii="Times New Roman" w:hAnsi="Times New Roman" w:eastAsia="楷体_GB2312" w:cs="仿宋_GB2312"/>
          <w:bCs/>
          <w:sz w:val="32"/>
          <w:szCs w:val="32"/>
        </w:rPr>
        <w:fldChar w:fldCharType="end"/>
      </w:r>
    </w:p>
    <w:p w14:paraId="7850D9E3">
      <w:pPr>
        <w:pStyle w:val="20"/>
        <w:spacing w:after="100" w:line="600" w:lineRule="exact"/>
        <w:ind w:left="0" w:leftChars="0"/>
        <w:contextualSpacing/>
        <w:jc w:val="center"/>
        <w:rPr>
          <w:szCs w:val="32"/>
        </w:rPr>
        <w:sectPr>
          <w:footerReference r:id="rId5" w:type="default"/>
          <w:pgSz w:w="11906" w:h="16838"/>
          <w:pgMar w:top="1440" w:right="1800" w:bottom="1440" w:left="1800" w:header="851" w:footer="850" w:gutter="0"/>
          <w:pgNumType w:fmt="upperRoman" w:start="1"/>
          <w:cols w:space="425" w:num="1"/>
          <w:docGrid w:type="lines" w:linePitch="381" w:charSpace="0"/>
        </w:sectPr>
      </w:pPr>
      <w:r>
        <w:rPr>
          <w:rFonts w:ascii="Times New Roman" w:hAnsi="Times New Roman" w:cs="Times New Roman"/>
          <w:sz w:val="32"/>
          <w:szCs w:val="32"/>
        </w:rPr>
        <w:fldChar w:fldCharType="end"/>
      </w:r>
    </w:p>
    <w:p w14:paraId="788BA6A7">
      <w:pPr>
        <w:adjustRightInd w:val="0"/>
        <w:spacing w:after="0" w:line="600" w:lineRule="exact"/>
        <w:ind w:firstLine="640" w:firstLineChars="200"/>
        <w:rPr>
          <w:rFonts w:ascii="Times New Roman" w:hAnsi="Times New Roman" w:eastAsia="仿宋_GB2312" w:cs="Times New Roman"/>
          <w:sz w:val="32"/>
          <w:szCs w:val="32"/>
        </w:rPr>
      </w:pPr>
      <w:bookmarkStart w:id="0" w:name="_Toc7534"/>
      <w:r>
        <w:rPr>
          <w:rFonts w:hint="eastAsia" w:ascii="Times New Roman" w:hAnsi="Times New Roman" w:eastAsia="仿宋_GB2312" w:cs="Times New Roman"/>
          <w:sz w:val="32"/>
          <w:szCs w:val="32"/>
        </w:rPr>
        <w:t>交通运输是中国式现代化的开路先锋，是保障经济社会发展和服务人民美好生活的重要支撑。为加快建设交通强市，构建现代综合交通运输体系，根据《中共晋城市委关于制定国民经济和社会发展第十五个五年规划的建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山西省交通运输“十五五”发展规划》，制定本规划。</w:t>
      </w:r>
    </w:p>
    <w:p w14:paraId="7135DDE2">
      <w:pPr>
        <w:adjustRightInd w:val="0"/>
        <w:spacing w:after="0" w:line="600" w:lineRule="exact"/>
        <w:ind w:firstLine="640" w:firstLineChars="200"/>
        <w:outlineLvl w:val="0"/>
        <w:rPr>
          <w:rFonts w:ascii="黑体" w:hAnsi="黑体" w:eastAsia="黑体" w:cs="Times New Roman"/>
          <w:sz w:val="32"/>
          <w:szCs w:val="32"/>
        </w:rPr>
      </w:pPr>
      <w:bookmarkStart w:id="1" w:name="_Toc20565"/>
      <w:bookmarkStart w:id="2" w:name="_Toc221120238"/>
      <w:bookmarkStart w:id="3" w:name="_Toc226561963"/>
      <w:r>
        <w:rPr>
          <w:rFonts w:hint="eastAsia" w:ascii="黑体" w:hAnsi="黑体" w:eastAsia="黑体" w:cs="Times New Roman"/>
          <w:sz w:val="32"/>
          <w:szCs w:val="32"/>
        </w:rPr>
        <w:t>一、发展基础</w:t>
      </w:r>
      <w:bookmarkEnd w:id="1"/>
      <w:bookmarkEnd w:id="2"/>
      <w:bookmarkEnd w:id="3"/>
    </w:p>
    <w:p w14:paraId="0160A67F">
      <w:pPr>
        <w:adjustRightInd w:val="0"/>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五”时期，在市委、市政府有力领导下，晋城市交通运输系统紧紧围绕“开路先锋”使命定位，实干笃行，全力推动交通运输高质量发展迈上新台阶。全市干线交通网络布局持续完善，“四好农村路”建设再创佳绩，太行一号旅游公路建设成效全省领先，“五级”公交体系不断优化，客货邮融合深入推进，智慧交通发展高效赋能，新能源设备更新有序实施，行业安全生产形势保持稳定向好。</w:t>
      </w:r>
    </w:p>
    <w:p w14:paraId="26EEB138">
      <w:pPr>
        <w:adjustRightInd w:val="0"/>
        <w:spacing w:after="0"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一是</w:t>
      </w:r>
      <w:r>
        <w:rPr>
          <w:rFonts w:hint="eastAsia" w:ascii="Times New Roman" w:hAnsi="Times New Roman" w:eastAsia="仿宋_GB2312" w:cs="Times New Roman"/>
          <w:b/>
          <w:bCs/>
          <w:sz w:val="32"/>
          <w:szCs w:val="32"/>
        </w:rPr>
        <w:t>交通设施网络更加完善</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铁路网络逐步健全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总里程达537.6公里，“</w:t>
      </w:r>
      <w:r>
        <w:rPr>
          <w:rFonts w:ascii="Times New Roman" w:hAnsi="Times New Roman" w:eastAsia="仿宋_GB2312" w:cs="Times New Roman"/>
          <w:sz w:val="32"/>
          <w:szCs w:val="32"/>
        </w:rPr>
        <w:t>一高两普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铁路网络贯通南北，初步实现客货分离、快慢分开，60%</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县级行政中心60分钟</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上高铁</w:t>
      </w:r>
      <w:r>
        <w:rPr>
          <w:rFonts w:hint="eastAsia" w:ascii="Times New Roman" w:hAnsi="Times New Roman" w:eastAsia="仿宋_GB2312" w:cs="Times New Roman"/>
          <w:sz w:val="32"/>
          <w:szCs w:val="32"/>
        </w:rPr>
        <w:t>。公路网络持续优化</w:t>
      </w:r>
      <w:r>
        <w:rPr>
          <w:rFonts w:ascii="Times New Roman" w:hAnsi="Times New Roman" w:eastAsia="仿宋_GB2312" w:cs="Times New Roman"/>
          <w:sz w:val="32"/>
          <w:szCs w:val="32"/>
        </w:rPr>
        <w:t>，全市公路</w:t>
      </w:r>
      <w:r>
        <w:rPr>
          <w:rFonts w:hint="eastAsia" w:ascii="Times New Roman" w:hAnsi="Times New Roman" w:eastAsia="仿宋_GB2312" w:cs="Times New Roman"/>
          <w:sz w:val="32"/>
          <w:szCs w:val="32"/>
        </w:rPr>
        <w:t>总里程达10030公里，较“十三五”期</w:t>
      </w:r>
      <w:r>
        <w:rPr>
          <w:rFonts w:ascii="Times New Roman" w:hAnsi="Times New Roman" w:eastAsia="仿宋_GB2312" w:cs="Times New Roman"/>
          <w:sz w:val="32"/>
          <w:szCs w:val="32"/>
        </w:rPr>
        <w:t>增</w:t>
      </w:r>
      <w:r>
        <w:rPr>
          <w:rFonts w:hint="eastAsia" w:ascii="Times New Roman" w:hAnsi="Times New Roman" w:eastAsia="仿宋_GB2312" w:cs="Times New Roman"/>
          <w:sz w:val="32"/>
          <w:szCs w:val="32"/>
        </w:rPr>
        <w:t>加378公里，公路网密度提升至106.4公里/百平方公里，高出全省平均水平12.2公里/百平方公里，“</w:t>
      </w:r>
      <w:r>
        <w:rPr>
          <w:rFonts w:ascii="Times New Roman" w:hAnsi="Times New Roman" w:eastAsia="仿宋_GB2312" w:cs="Times New Roman"/>
          <w:sz w:val="32"/>
          <w:szCs w:val="32"/>
        </w:rPr>
        <w:t>两横两纵一环六出口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的高速公路、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一横两纵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的普通国道和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一横三纵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的普通省道布局基本形成，实现了全部县级行政中心15分钟上国道、30分钟上高速公路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农村公路建设成效显著，全市67个乡镇100%通三级及以上公路，</w:t>
      </w:r>
      <w:r>
        <w:rPr>
          <w:rFonts w:hint="eastAsia" w:ascii="Times New Roman" w:hAnsi="Times New Roman" w:eastAsia="仿宋_GB2312" w:cs="Times New Roman"/>
          <w:sz w:val="32"/>
          <w:szCs w:val="32"/>
        </w:rPr>
        <w:t>较大人口规模自然村组（30户及以上）</w:t>
      </w:r>
      <w:r>
        <w:rPr>
          <w:rFonts w:ascii="Times New Roman" w:hAnsi="Times New Roman" w:eastAsia="仿宋_GB2312" w:cs="Times New Roman"/>
          <w:sz w:val="32"/>
          <w:szCs w:val="32"/>
        </w:rPr>
        <w:t>100%通硬化路，1541个具备条件的建制村实现100%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双通</w:t>
      </w:r>
      <w:r>
        <w:rPr>
          <w:rFonts w:hint="eastAsia" w:ascii="Times New Roman" w:hAnsi="Times New Roman" w:eastAsia="仿宋_GB2312" w:cs="Times New Roman"/>
          <w:sz w:val="32"/>
          <w:szCs w:val="32"/>
        </w:rPr>
        <w:t>”；太行一号旅游公路全省领先，率先建成582公里主线、270公里支线、50公里沁河古堡环线、150公里“百村百院”连接线，覆盖全市90%的脱贫地区、90%的景区景点、90%的特色农产品产区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晋城民用</w:t>
      </w:r>
      <w:r>
        <w:rPr>
          <w:rFonts w:ascii="Times New Roman" w:hAnsi="Times New Roman" w:eastAsia="仿宋_GB2312" w:cs="Times New Roman"/>
          <w:sz w:val="32"/>
          <w:szCs w:val="32"/>
        </w:rPr>
        <w:t>机场建设</w:t>
      </w:r>
      <w:r>
        <w:rPr>
          <w:rFonts w:hint="eastAsia" w:ascii="Times New Roman" w:hAnsi="Times New Roman" w:eastAsia="仿宋_GB2312" w:cs="Times New Roman"/>
          <w:sz w:val="32"/>
          <w:szCs w:val="32"/>
        </w:rPr>
        <w:t>项目稳步</w:t>
      </w:r>
      <w:r>
        <w:rPr>
          <w:rFonts w:ascii="Times New Roman" w:hAnsi="Times New Roman" w:eastAsia="仿宋_GB2312" w:cs="Times New Roman"/>
          <w:sz w:val="32"/>
          <w:szCs w:val="32"/>
        </w:rPr>
        <w:t>推进。</w:t>
      </w:r>
    </w:p>
    <w:p w14:paraId="34280707">
      <w:pPr>
        <w:adjustRightInd w:val="0"/>
        <w:spacing w:after="0"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二是</w:t>
      </w:r>
      <w:r>
        <w:rPr>
          <w:rFonts w:hint="eastAsia" w:ascii="Times New Roman" w:hAnsi="Times New Roman" w:eastAsia="仿宋_GB2312" w:cs="Times New Roman"/>
          <w:b/>
          <w:bCs/>
          <w:sz w:val="32"/>
          <w:szCs w:val="32"/>
        </w:rPr>
        <w:t>综合</w:t>
      </w:r>
      <w:r>
        <w:rPr>
          <w:rFonts w:ascii="Times New Roman" w:hAnsi="Times New Roman" w:eastAsia="仿宋_GB2312" w:cs="Times New Roman"/>
          <w:b/>
          <w:bCs/>
          <w:sz w:val="32"/>
          <w:szCs w:val="32"/>
        </w:rPr>
        <w:t>运输服务</w:t>
      </w:r>
      <w:r>
        <w:rPr>
          <w:rFonts w:hint="eastAsia" w:ascii="Times New Roman" w:hAnsi="Times New Roman" w:eastAsia="仿宋_GB2312" w:cs="Times New Roman"/>
          <w:b/>
          <w:bCs/>
          <w:sz w:val="32"/>
          <w:szCs w:val="32"/>
        </w:rPr>
        <w:t>更加优质</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完成道路旅客运输量3.75亿人次，较“十三五”期增长25%。高速铁路运营增量提速，</w:t>
      </w:r>
      <w:r>
        <w:rPr>
          <w:rFonts w:ascii="Times New Roman" w:hAnsi="Times New Roman" w:eastAsia="仿宋_GB2312" w:cs="Times New Roman"/>
          <w:sz w:val="32"/>
          <w:szCs w:val="32"/>
        </w:rPr>
        <w:t>自</w:t>
      </w:r>
      <w:r>
        <w:rPr>
          <w:rFonts w:hint="eastAsia" w:ascii="Times New Roman" w:hAnsi="Times New Roman" w:eastAsia="仿宋_GB2312" w:cs="Times New Roman"/>
          <w:sz w:val="32"/>
          <w:szCs w:val="32"/>
        </w:rPr>
        <w:t>开通</w:t>
      </w:r>
      <w:r>
        <w:rPr>
          <w:rFonts w:ascii="Times New Roman" w:hAnsi="Times New Roman" w:eastAsia="仿宋_GB2312" w:cs="Times New Roman"/>
          <w:sz w:val="32"/>
          <w:szCs w:val="32"/>
        </w:rPr>
        <w:t>以来</w:t>
      </w:r>
      <w:r>
        <w:rPr>
          <w:rFonts w:hint="eastAsia" w:ascii="Times New Roman" w:hAnsi="Times New Roman" w:eastAsia="仿宋_GB2312" w:cs="Times New Roman"/>
          <w:sz w:val="32"/>
          <w:szCs w:val="32"/>
        </w:rPr>
        <w:t>累计发送旅客近</w:t>
      </w:r>
      <w:r>
        <w:rPr>
          <w:rFonts w:ascii="Times New Roman" w:hAnsi="Times New Roman" w:eastAsia="仿宋_GB2312" w:cs="Times New Roman"/>
          <w:sz w:val="32"/>
          <w:szCs w:val="32"/>
        </w:rPr>
        <w:t>800万人次，</w:t>
      </w:r>
      <w:r>
        <w:rPr>
          <w:rFonts w:hint="eastAsia" w:ascii="Times New Roman" w:hAnsi="Times New Roman" w:eastAsia="仿宋_GB2312" w:cs="Times New Roman"/>
          <w:sz w:val="32"/>
          <w:szCs w:val="32"/>
        </w:rPr>
        <w:t>日均运行</w:t>
      </w:r>
      <w:r>
        <w:rPr>
          <w:rFonts w:ascii="Times New Roman" w:hAnsi="Times New Roman" w:eastAsia="仿宋_GB2312" w:cs="Times New Roman"/>
          <w:sz w:val="32"/>
          <w:szCs w:val="32"/>
        </w:rPr>
        <w:t>车次由</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趟增至70</w:t>
      </w:r>
      <w:r>
        <w:rPr>
          <w:rFonts w:hint="eastAsia" w:ascii="Times New Roman" w:hAnsi="Times New Roman" w:eastAsia="仿宋_GB2312" w:cs="Times New Roman"/>
          <w:sz w:val="32"/>
          <w:szCs w:val="32"/>
        </w:rPr>
        <w:t>余趟，实现</w:t>
      </w:r>
      <w:r>
        <w:rPr>
          <w:rFonts w:ascii="Times New Roman" w:hAnsi="Times New Roman" w:eastAsia="仿宋_GB2312" w:cs="Times New Roman"/>
          <w:sz w:val="32"/>
          <w:szCs w:val="32"/>
        </w:rPr>
        <w:t>3个半小时直达北京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6个多</w:t>
      </w:r>
      <w:r>
        <w:rPr>
          <w:rFonts w:hint="eastAsia" w:ascii="Times New Roman" w:hAnsi="Times New Roman" w:eastAsia="仿宋_GB2312" w:cs="Times New Roman"/>
          <w:sz w:val="32"/>
          <w:szCs w:val="32"/>
        </w:rPr>
        <w:t>小时直达上海、广州、深圳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公交体系</w:t>
      </w:r>
      <w:r>
        <w:rPr>
          <w:rFonts w:hint="eastAsia" w:ascii="Times New Roman" w:hAnsi="Times New Roman" w:eastAsia="仿宋_GB2312" w:cs="Times New Roman"/>
          <w:sz w:val="32"/>
          <w:szCs w:val="32"/>
        </w:rPr>
        <w:t>持续优化</w:t>
      </w:r>
      <w:r>
        <w:rPr>
          <w:rFonts w:ascii="Times New Roman" w:hAnsi="Times New Roman" w:eastAsia="仿宋_GB2312" w:cs="Times New Roman"/>
          <w:sz w:val="32"/>
          <w:szCs w:val="32"/>
        </w:rPr>
        <w:t>，累计开通线路505条，</w:t>
      </w:r>
      <w:r>
        <w:rPr>
          <w:rFonts w:hint="eastAsia" w:ascii="Times New Roman" w:hAnsi="Times New Roman" w:eastAsia="仿宋_GB2312" w:cs="Times New Roman"/>
          <w:sz w:val="32"/>
          <w:szCs w:val="32"/>
        </w:rPr>
        <w:t>较“十三五”期增加130条，年均客流量达7500万人次</w:t>
      </w:r>
      <w:r>
        <w:rPr>
          <w:rFonts w:ascii="Times New Roman" w:hAnsi="Times New Roman" w:eastAsia="仿宋_GB2312" w:cs="Times New Roman"/>
          <w:sz w:val="32"/>
          <w:szCs w:val="32"/>
        </w:rPr>
        <w:t>，主城区500米站点覆盖率达97.</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%，公共交通机动化分担率达33.</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%，城区居民绿色出行比例达71%，位居全省第一方阵</w:t>
      </w:r>
      <w:r>
        <w:rPr>
          <w:rFonts w:hint="eastAsia" w:ascii="Times New Roman" w:hAnsi="Times New Roman" w:eastAsia="仿宋_GB2312" w:cs="Times New Roman"/>
          <w:sz w:val="32"/>
          <w:szCs w:val="32"/>
        </w:rPr>
        <w:t>；定制公交需求精准匹配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开通定制通勤、定制通学、公交专线、临时公交等多种线路</w:t>
      </w:r>
      <w:r>
        <w:rPr>
          <w:rFonts w:ascii="Times New Roman" w:hAnsi="Times New Roman" w:eastAsia="仿宋_GB2312" w:cs="Times New Roman"/>
          <w:sz w:val="32"/>
          <w:szCs w:val="32"/>
        </w:rPr>
        <w:t>。货运物流蓬勃发展，</w:t>
      </w:r>
      <w:r>
        <w:rPr>
          <w:rFonts w:hint="eastAsia" w:ascii="Times New Roman" w:hAnsi="Times New Roman" w:eastAsia="仿宋_GB2312" w:cs="Times New Roman"/>
          <w:sz w:val="32"/>
          <w:szCs w:val="32"/>
        </w:rPr>
        <w:t>规模以上道路货运企业</w:t>
      </w:r>
      <w:r>
        <w:rPr>
          <w:rFonts w:ascii="Times New Roman" w:hAnsi="Times New Roman" w:eastAsia="仿宋_GB2312" w:cs="Times New Roman"/>
          <w:sz w:val="32"/>
          <w:szCs w:val="32"/>
        </w:rPr>
        <w:t>增至</w:t>
      </w:r>
      <w:r>
        <w:rPr>
          <w:rFonts w:hint="eastAsia" w:ascii="Times New Roman" w:hAnsi="Times New Roman" w:eastAsia="仿宋_GB2312" w:cs="Times New Roman"/>
          <w:sz w:val="32"/>
          <w:szCs w:val="32"/>
        </w:rPr>
        <w:t>23家，营运货运车辆达24640辆，较“十三五”</w:t>
      </w:r>
      <w:r>
        <w:rPr>
          <w:rFonts w:ascii="Times New Roman" w:hAnsi="Times New Roman" w:eastAsia="仿宋_GB2312" w:cs="Times New Roman"/>
          <w:sz w:val="32"/>
          <w:szCs w:val="32"/>
        </w:rPr>
        <w:t>末分别</w:t>
      </w:r>
      <w:r>
        <w:rPr>
          <w:rFonts w:hint="eastAsia" w:ascii="Times New Roman" w:hAnsi="Times New Roman" w:eastAsia="仿宋_GB2312" w:cs="Times New Roman"/>
          <w:sz w:val="32"/>
          <w:szCs w:val="32"/>
        </w:rPr>
        <w:t>增长76.9%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200%；</w:t>
      </w:r>
      <w:r>
        <w:rPr>
          <w:rFonts w:ascii="Times New Roman" w:hAnsi="Times New Roman" w:eastAsia="仿宋_GB2312" w:cs="Times New Roman"/>
          <w:sz w:val="32"/>
          <w:szCs w:val="32"/>
        </w:rPr>
        <w:t>客货邮融合发展</w:t>
      </w:r>
      <w:r>
        <w:rPr>
          <w:rFonts w:hint="eastAsia" w:ascii="Times New Roman" w:hAnsi="Times New Roman" w:eastAsia="仿宋_GB2312" w:cs="Times New Roman"/>
          <w:sz w:val="32"/>
          <w:szCs w:val="32"/>
        </w:rPr>
        <w:t>水平显著提升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成县乡村三级物流体系，实现“县有中心、乡有站点、村有服务”全覆盖，累计运输快递和农产品1500万件，降低快递成本3000万元，带动农民增收约1亿元。低空交通起步发展，已初步实现在高速公路无人机巡查、水上搜救、地质灾害应对、旅游观光等多场景中的</w:t>
      </w:r>
      <w:r>
        <w:rPr>
          <w:rFonts w:ascii="Times New Roman" w:hAnsi="Times New Roman" w:eastAsia="仿宋_GB2312" w:cs="Times New Roman"/>
          <w:sz w:val="32"/>
          <w:szCs w:val="32"/>
        </w:rPr>
        <w:t>应用</w:t>
      </w:r>
      <w:r>
        <w:rPr>
          <w:rFonts w:hint="eastAsia" w:ascii="Times New Roman" w:hAnsi="Times New Roman" w:eastAsia="仿宋_GB2312" w:cs="Times New Roman"/>
          <w:sz w:val="32"/>
          <w:szCs w:val="32"/>
        </w:rPr>
        <w:t>。</w:t>
      </w:r>
    </w:p>
    <w:p w14:paraId="793C9164">
      <w:pPr>
        <w:adjustRightInd w:val="0"/>
        <w:spacing w:after="0"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三是区域互联互通</w:t>
      </w:r>
      <w:r>
        <w:rPr>
          <w:rFonts w:hint="eastAsia" w:ascii="Times New Roman" w:hAnsi="Times New Roman" w:eastAsia="仿宋_GB2312" w:cs="Times New Roman"/>
          <w:b/>
          <w:bCs/>
          <w:sz w:val="32"/>
          <w:szCs w:val="32"/>
        </w:rPr>
        <w:t>更加顺畅</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高速公路、普通国省干线省际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出口路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互联互通水平</w:t>
      </w:r>
      <w:r>
        <w:rPr>
          <w:rFonts w:hint="eastAsia" w:ascii="Times New Roman" w:hAnsi="Times New Roman" w:eastAsia="仿宋_GB2312" w:cs="Times New Roman"/>
          <w:sz w:val="32"/>
          <w:szCs w:val="32"/>
        </w:rPr>
        <w:t>进一步提升</w:t>
      </w:r>
      <w:r>
        <w:rPr>
          <w:rFonts w:ascii="Times New Roman" w:hAnsi="Times New Roman" w:eastAsia="仿宋_GB2312" w:cs="Times New Roman"/>
          <w:sz w:val="32"/>
          <w:szCs w:val="32"/>
        </w:rPr>
        <w:t>，陵侯高速通往新乡方向建成通车，晋城市通往周边地市的市域出口达17个，其中河南省方向9个、长治市方向5个、临汾市方向3个，对接中原城市群更加充分。</w:t>
      </w:r>
      <w:r>
        <w:rPr>
          <w:rFonts w:hint="eastAsia" w:ascii="Times New Roman" w:hAnsi="Times New Roman" w:eastAsia="仿宋_GB2312" w:cs="Times New Roman"/>
          <w:sz w:val="32"/>
          <w:szCs w:val="32"/>
        </w:rPr>
        <w:t>晋阳高速改扩建建成通车，国道</w:t>
      </w:r>
      <w:r>
        <w:rPr>
          <w:rFonts w:ascii="Times New Roman" w:hAnsi="Times New Roman" w:eastAsia="仿宋_GB2312" w:cs="Times New Roman"/>
          <w:sz w:val="32"/>
          <w:szCs w:val="32"/>
        </w:rPr>
        <w:t>342城区过境段改线</w:t>
      </w:r>
      <w:r>
        <w:rPr>
          <w:rFonts w:hint="eastAsia" w:ascii="Times New Roman" w:hAnsi="Times New Roman" w:eastAsia="仿宋_GB2312" w:cs="Times New Roman"/>
          <w:sz w:val="32"/>
          <w:szCs w:val="32"/>
        </w:rPr>
        <w:t>工程顺利实施，国道</w:t>
      </w:r>
      <w:r>
        <w:rPr>
          <w:rFonts w:ascii="Times New Roman" w:hAnsi="Times New Roman" w:eastAsia="仿宋_GB2312" w:cs="Times New Roman"/>
          <w:sz w:val="32"/>
          <w:szCs w:val="32"/>
        </w:rPr>
        <w:t>208高平段改扩建工程加速推进，城市过境段改线、瓶颈路段升级改造基本达到预期目标。</w:t>
      </w:r>
    </w:p>
    <w:p w14:paraId="44AE6084">
      <w:pPr>
        <w:adjustRightInd w:val="0"/>
        <w:spacing w:after="0"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四是</w:t>
      </w:r>
      <w:r>
        <w:rPr>
          <w:rFonts w:hint="eastAsia" w:ascii="Times New Roman" w:hAnsi="Times New Roman" w:eastAsia="仿宋_GB2312" w:cs="Times New Roman"/>
          <w:b/>
          <w:bCs/>
          <w:sz w:val="32"/>
          <w:szCs w:val="32"/>
        </w:rPr>
        <w:t>智慧交通应用更加深入</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完成公共交通运行监测调度中心一期</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并通过市大数据</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项目验收，初步实现各种运输方式信息交互共享。</w:t>
      </w:r>
      <w:r>
        <w:rPr>
          <w:rFonts w:hint="eastAsia" w:ascii="Times New Roman" w:hAnsi="Times New Roman" w:eastAsia="仿宋_GB2312" w:cs="Times New Roman"/>
          <w:sz w:val="32"/>
          <w:szCs w:val="32"/>
        </w:rPr>
        <w:t>依托交通应急指挥调度平台，统筹协调全市交通管理力量，高效保障重大活动应急指挥与联动处置。全面启用“运证通”</w:t>
      </w:r>
      <w:r>
        <w:rPr>
          <w:rFonts w:ascii="Times New Roman" w:hAnsi="Times New Roman" w:eastAsia="仿宋_GB2312" w:cs="Times New Roman"/>
          <w:sz w:val="32"/>
          <w:szCs w:val="32"/>
        </w:rPr>
        <w:t>APP，实现便捷免费申领道路运输经营许可证等三类九证电子证照。</w:t>
      </w:r>
      <w:r>
        <w:rPr>
          <w:rFonts w:hint="eastAsia" w:ascii="Times New Roman" w:hAnsi="Times New Roman" w:eastAsia="仿宋_GB2312" w:cs="Times New Roman"/>
          <w:sz w:val="32"/>
          <w:szCs w:val="32"/>
        </w:rPr>
        <w:t>整合“云锦太行画中游”全域旅游智慧平台</w:t>
      </w:r>
      <w:r>
        <w:rPr>
          <w:rFonts w:ascii="Times New Roman" w:hAnsi="Times New Roman" w:eastAsia="仿宋_GB2312" w:cs="Times New Roman"/>
          <w:sz w:val="32"/>
          <w:szCs w:val="32"/>
        </w:rPr>
        <w:t>，实现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一部手机游晋城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605EBD25">
      <w:pPr>
        <w:adjustRightInd w:val="0"/>
        <w:spacing w:after="0"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五是</w:t>
      </w:r>
      <w:r>
        <w:rPr>
          <w:rFonts w:hint="eastAsia" w:ascii="Times New Roman" w:hAnsi="Times New Roman" w:eastAsia="仿宋_GB2312" w:cs="Times New Roman"/>
          <w:b/>
          <w:bCs/>
          <w:sz w:val="32"/>
          <w:szCs w:val="32"/>
        </w:rPr>
        <w:t>交通安全根基更加稳固。</w:t>
      </w:r>
      <w:r>
        <w:rPr>
          <w:rFonts w:hint="eastAsia" w:ascii="Times New Roman" w:hAnsi="Times New Roman" w:eastAsia="仿宋_GB2312" w:cs="Times New Roman"/>
          <w:sz w:val="32"/>
          <w:szCs w:val="32"/>
        </w:rPr>
        <w:t>农村公路发展基础持续夯实，实施生命安全防护工程176公里，排查处置隐患路段54处，完成危桥改造29座，设置“一灯一带”290处，规范限速里程497.1公里，优良路率达到93.9%，路况水平位居全省前列。“两客一危”监管更加规范，重点营运车辆北斗系统应用率达100%，车辆入网率、上线率、数据合格率、平台连通率保持100%，车辆轨迹完整率达99.8%。超限超载治理深入推进，超限超载率常年稳定在万分之一以下，远低于全省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全国5%的平均水平。安全生产管理制度不断</w:t>
      </w:r>
      <w:r>
        <w:rPr>
          <w:rFonts w:ascii="Times New Roman" w:hAnsi="Times New Roman" w:eastAsia="仿宋_GB2312" w:cs="Times New Roman"/>
          <w:sz w:val="32"/>
          <w:szCs w:val="32"/>
        </w:rPr>
        <w:t>完善</w:t>
      </w:r>
      <w:r>
        <w:rPr>
          <w:rFonts w:hint="eastAsia" w:ascii="Times New Roman" w:hAnsi="Times New Roman" w:eastAsia="仿宋_GB2312" w:cs="Times New Roman"/>
          <w:sz w:val="32"/>
          <w:szCs w:val="32"/>
        </w:rPr>
        <w:t>，制定印发了《晋城市交通运输局“三管三必须”实施细则》及《晋城市城市公共交通运输突发事件应急预案》《晋城市水上搜救应急预案》等专项预案。</w:t>
      </w:r>
      <w:r>
        <w:rPr>
          <w:rFonts w:ascii="Times New Roman" w:hAnsi="Times New Roman" w:eastAsia="仿宋_GB2312" w:cs="Times New Roman"/>
          <w:sz w:val="32"/>
          <w:szCs w:val="32"/>
        </w:rPr>
        <w:t>交通</w:t>
      </w:r>
      <w:r>
        <w:rPr>
          <w:rFonts w:hint="eastAsia" w:ascii="Times New Roman" w:hAnsi="Times New Roman" w:eastAsia="仿宋_GB2312" w:cs="Times New Roman"/>
          <w:sz w:val="32"/>
          <w:szCs w:val="32"/>
        </w:rPr>
        <w:t>应急救援能力显著增强，组建了7支交通运输行业应急救援队伍，开展了水上搜救、石油（天然气）煤层气公路运输突发事故、公共交通防汛应急、G208改建工程开化寺隧道防塌方等应急演练23次。</w:t>
      </w:r>
    </w:p>
    <w:p w14:paraId="51774B53">
      <w:pPr>
        <w:adjustRightInd w:val="0"/>
        <w:spacing w:after="0"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六是</w:t>
      </w:r>
      <w:r>
        <w:rPr>
          <w:rFonts w:ascii="Times New Roman" w:hAnsi="Times New Roman" w:eastAsia="仿宋_GB2312" w:cs="Times New Roman"/>
          <w:b/>
          <w:bCs/>
          <w:sz w:val="32"/>
          <w:szCs w:val="32"/>
        </w:rPr>
        <w:t>绿色</w:t>
      </w:r>
      <w:r>
        <w:rPr>
          <w:rFonts w:hint="eastAsia" w:ascii="Times New Roman" w:hAnsi="Times New Roman" w:eastAsia="仿宋_GB2312" w:cs="Times New Roman"/>
          <w:b/>
          <w:bCs/>
          <w:sz w:val="32"/>
          <w:szCs w:val="32"/>
        </w:rPr>
        <w:t>交通发展更加有力</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运输结构调整持续深化，稳步推动150万吨工矿企业接入铁路专用线，累计建成专用线64条，总里程达273.6公里。交通运输大规模设备更新有序实施，截至“十四五”末，更新新能源出租车1464辆，占全市出租车总量的76%，新能源电动重卡4759辆，占全市营运货车总量的30.2%，远超全省平均水平（2%左右）；主城区运营公交车已实现新能源全覆盖，全市巡游出租车新能源比例达77.3%，位列全省前列（全省平均</w:t>
      </w:r>
      <w:r>
        <w:rPr>
          <w:rFonts w:ascii="Times New Roman" w:hAnsi="Times New Roman" w:eastAsia="仿宋_GB2312" w:cs="Times New Roman"/>
          <w:sz w:val="32"/>
          <w:szCs w:val="32"/>
        </w:rPr>
        <w:t>71.7%</w:t>
      </w:r>
      <w:r>
        <w:rPr>
          <w:rFonts w:hint="eastAsia" w:ascii="Times New Roman" w:hAnsi="Times New Roman" w:eastAsia="仿宋_GB2312" w:cs="Times New Roman"/>
          <w:sz w:val="32"/>
          <w:szCs w:val="32"/>
        </w:rPr>
        <w:t>），新增更新新能源巡游出租车比例达100%。绿色能源供给体系加快构建，累计建成高速公路充电站18座，配套充电桩114个，实现高速公路服务区充电设施全覆盖。</w:t>
      </w:r>
    </w:p>
    <w:p w14:paraId="426E07FF">
      <w:pPr>
        <w:adjustRightInd w:val="0"/>
        <w:spacing w:after="0"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七是行业治理体系更加完备。</w:t>
      </w:r>
      <w:r>
        <w:rPr>
          <w:rFonts w:hint="eastAsia" w:ascii="Times New Roman" w:hAnsi="Times New Roman" w:eastAsia="仿宋_GB2312" w:cs="Times New Roman"/>
          <w:sz w:val="32"/>
          <w:szCs w:val="32"/>
        </w:rPr>
        <w:t>交通运输综合行政执法改革持续推进，下沉执法力量，推动市级行政执法与城区、乡镇（街道）综合执法的有效衔接。聚焦“两客一危”、非法营运、超限超载等重点领域，联合治超办、交警开展“清源行动”“雷霆行动”，形成一体化执法模式，累计开展联合执法41次，查处超限超载车辆99辆次，组织各类专项行动17次，在2025年度全省治超工作考核中位列第一。 “放管服”改革纵深推进，营商环境持续优化，货运审批时限由</w:t>
      </w:r>
      <w:r>
        <w:rPr>
          <w:rFonts w:ascii="Times New Roman" w:hAnsi="Times New Roman" w:eastAsia="仿宋_GB2312" w:cs="Times New Roman"/>
          <w:sz w:val="32"/>
          <w:szCs w:val="32"/>
        </w:rPr>
        <w:t>20个工作日压至1个</w:t>
      </w:r>
      <w:r>
        <w:rPr>
          <w:rFonts w:hint="eastAsia" w:ascii="Times New Roman" w:hAnsi="Times New Roman" w:eastAsia="仿宋_GB2312" w:cs="Times New Roman"/>
          <w:sz w:val="32"/>
          <w:szCs w:val="32"/>
        </w:rPr>
        <w:t>工作日</w:t>
      </w:r>
      <w:r>
        <w:rPr>
          <w:rFonts w:ascii="Times New Roman" w:hAnsi="Times New Roman" w:eastAsia="仿宋_GB2312" w:cs="Times New Roman"/>
          <w:sz w:val="32"/>
          <w:szCs w:val="32"/>
        </w:rPr>
        <w:t>，大件运输审批时限由15个工作日压至10个</w:t>
      </w:r>
      <w:r>
        <w:rPr>
          <w:rFonts w:hint="eastAsia" w:ascii="Times New Roman" w:hAnsi="Times New Roman" w:eastAsia="仿宋_GB2312" w:cs="Times New Roman"/>
          <w:sz w:val="32"/>
          <w:szCs w:val="32"/>
        </w:rPr>
        <w:t>工作日。推</w:t>
      </w:r>
      <w:r>
        <w:rPr>
          <w:rFonts w:ascii="Times New Roman" w:hAnsi="Times New Roman" w:eastAsia="仿宋_GB2312" w:cs="Times New Roman"/>
          <w:sz w:val="32"/>
          <w:szCs w:val="32"/>
        </w:rPr>
        <w:t>动</w:t>
      </w:r>
      <w:r>
        <w:rPr>
          <w:rFonts w:hint="eastAsia" w:ascii="Times New Roman" w:hAnsi="Times New Roman" w:eastAsia="仿宋_GB2312" w:cs="Times New Roman"/>
          <w:sz w:val="32"/>
          <w:szCs w:val="32"/>
        </w:rPr>
        <w:t>网约车合规经营，出台《晋城市网络预约出租汽车经营服务管理实施细则》，实现全市“一键叫车”全覆盖。积极开展行业精神文明建设，培树出租客运行业党员先锋号、935出租车爱心车队、95128爱心车队、文明标兵车队、“爱心送考”出租车队等服务品牌，建设运营16个“司机之家”，打造路上温馨驿站。</w:t>
      </w:r>
    </w:p>
    <w:bookmarkEnd w:id="0"/>
    <w:p w14:paraId="4FC9A853">
      <w:pPr>
        <w:adjustRightInd w:val="0"/>
        <w:spacing w:after="0" w:line="600" w:lineRule="exact"/>
        <w:ind w:firstLine="640" w:firstLineChars="200"/>
        <w:rPr>
          <w:rFonts w:ascii="Times New Roman" w:hAnsi="Times New Roman" w:eastAsia="仿宋_GB2312" w:cs="Times New Roman"/>
          <w:sz w:val="32"/>
          <w:szCs w:val="32"/>
        </w:rPr>
      </w:pPr>
      <w:bookmarkStart w:id="4" w:name="_Toc30966"/>
      <w:r>
        <w:rPr>
          <w:rFonts w:hint="eastAsia" w:ascii="Times New Roman" w:hAnsi="Times New Roman" w:eastAsia="仿宋_GB2312" w:cs="Times New Roman"/>
          <w:sz w:val="32"/>
          <w:szCs w:val="32"/>
        </w:rPr>
        <w:t>但是，对照经济社会发展和人民美好生活需要，交通运输领域仍存在发展不平衡不充分的问题，具体表现在：一是路网布局有待优化，结构性矛盾较为突出，晋城民用机场、晋侯高铁等重大交通基础设施项目推进滞后，东西向交通联系不畅，高等级公路占比偏低，部分区域、时段高速公路存在布局“空白”和能力紧张情况，农村公路发展不均衡的问题仍然存在。二是枢纽建设存在短板，集两种及以上交通方式的综合客运枢纽缺失，公交停保场站对部分片区覆盖不足，物流场站布局分散且规模小，缺少具备多式联运功能的物流园区。三是交通运输服务质量和效率有待提升，运输服务方式与现代经济运行、人员流动、货物流通等要求未能充分匹配，旅客联程运输、货物多式联运等先进运输组织模式应用不足。四是路网韧性及承载能力有待增强，高速公路、国省干线、农村公路、桥梁隧道等交通基础设施“老龄化”日益凸显，极端天气频发致使路网灾害风险加剧，部分地区安全风险隐患压力不断增加。五是要素保障约束日益趋紧，市县级政府财政用于基础设施建设的资金严重短缺，公路项目配套资金缺口呈逐年加大趋势，用地管控愈发严格，供需矛盾突出，耕地占补平衡指标落实难，跨部门协调办理前期手续时间较长。</w:t>
      </w:r>
    </w:p>
    <w:p w14:paraId="77F99B11">
      <w:pPr>
        <w:adjustRightInd w:val="0"/>
        <w:spacing w:after="0" w:line="600" w:lineRule="exact"/>
        <w:ind w:firstLine="640" w:firstLineChars="200"/>
        <w:outlineLvl w:val="0"/>
        <w:rPr>
          <w:rFonts w:ascii="黑体" w:hAnsi="黑体" w:eastAsia="黑体" w:cs="Times New Roman"/>
          <w:sz w:val="32"/>
          <w:szCs w:val="32"/>
        </w:rPr>
        <w:sectPr>
          <w:footerReference r:id="rId6" w:type="default"/>
          <w:pgSz w:w="11906" w:h="16838"/>
          <w:pgMar w:top="1440" w:right="1800" w:bottom="1440" w:left="1800" w:header="851" w:footer="850" w:gutter="0"/>
          <w:pgNumType w:start="1"/>
          <w:cols w:space="425" w:num="1"/>
          <w:docGrid w:type="lines" w:linePitch="326" w:charSpace="0"/>
        </w:sectPr>
      </w:pPr>
    </w:p>
    <w:p w14:paraId="5BB0E67F">
      <w:pPr>
        <w:adjustRightInd w:val="0"/>
        <w:spacing w:after="0" w:line="600" w:lineRule="exact"/>
        <w:ind w:firstLine="640" w:firstLineChars="200"/>
        <w:outlineLvl w:val="0"/>
        <w:rPr>
          <w:rFonts w:ascii="黑体" w:hAnsi="黑体" w:eastAsia="黑体" w:cs="Times New Roman"/>
          <w:sz w:val="32"/>
          <w:szCs w:val="32"/>
        </w:rPr>
      </w:pPr>
      <w:bookmarkStart w:id="5" w:name="_Toc11774"/>
      <w:bookmarkStart w:id="6" w:name="_Toc226561964"/>
      <w:bookmarkStart w:id="7" w:name="_Toc221120239"/>
      <w:r>
        <w:rPr>
          <w:rFonts w:hint="eastAsia" w:ascii="黑体" w:hAnsi="黑体" w:eastAsia="黑体" w:cs="Times New Roman"/>
          <w:sz w:val="32"/>
          <w:szCs w:val="32"/>
        </w:rPr>
        <w:t>二、</w:t>
      </w:r>
      <w:bookmarkEnd w:id="4"/>
      <w:r>
        <w:rPr>
          <w:rFonts w:hint="eastAsia" w:ascii="黑体" w:hAnsi="黑体" w:eastAsia="黑体" w:cs="Times New Roman"/>
          <w:sz w:val="32"/>
          <w:szCs w:val="32"/>
        </w:rPr>
        <w:t>发展环境</w:t>
      </w:r>
      <w:bookmarkEnd w:id="5"/>
      <w:bookmarkEnd w:id="6"/>
      <w:bookmarkEnd w:id="7"/>
    </w:p>
    <w:p w14:paraId="5C39B2E8">
      <w:pPr>
        <w:adjustRightInd w:val="0"/>
        <w:spacing w:after="0" w:line="600" w:lineRule="exact"/>
        <w:ind w:firstLine="643" w:firstLineChars="200"/>
        <w:outlineLvl w:val="1"/>
        <w:rPr>
          <w:rFonts w:ascii="楷体_GB2312" w:hAnsi="仿宋_GB2312" w:eastAsia="楷体_GB2312" w:cs="仿宋_GB2312"/>
          <w:b/>
          <w:bCs/>
          <w:sz w:val="32"/>
          <w:szCs w:val="32"/>
        </w:rPr>
      </w:pPr>
      <w:bookmarkStart w:id="8" w:name="_Toc226561965"/>
      <w:bookmarkStart w:id="9" w:name="_Toc221120240"/>
      <w:bookmarkStart w:id="10" w:name="_Toc8208"/>
      <w:bookmarkStart w:id="11" w:name="_Toc17949"/>
      <w:r>
        <w:rPr>
          <w:rFonts w:hint="eastAsia" w:ascii="楷体_GB2312" w:hAnsi="仿宋_GB2312" w:eastAsia="楷体_GB2312" w:cs="仿宋_GB2312"/>
          <w:b/>
          <w:bCs/>
          <w:sz w:val="32"/>
          <w:szCs w:val="32"/>
        </w:rPr>
        <w:t>（一）面临形势</w:t>
      </w:r>
      <w:bookmarkEnd w:id="8"/>
      <w:bookmarkEnd w:id="9"/>
      <w:bookmarkEnd w:id="10"/>
    </w:p>
    <w:p w14:paraId="1EA836BF">
      <w:pPr>
        <w:adjustRightInd w:val="0"/>
        <w:spacing w:after="0" w:line="600" w:lineRule="exact"/>
        <w:ind w:firstLine="641"/>
        <w:rPr>
          <w:rFonts w:ascii="仿宋_GB2312" w:hAnsi="仿宋_GB2312" w:eastAsia="仿宋_GB2312" w:cs="仿宋_GB2312"/>
          <w:b/>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十五五</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时期是到2035年基本实现社会主义现代化夯实基础、全面发力的关键时期，是实现基本建成交通强国战略目标承上启下的关键期，是山西推动高质量发展、深化全方位转型取得突破性进展的宝贵窗口期。从国家层面看，我国进入工业化后期，加快构建新发展格局、发展新质生产力、实施扩大内需战略、</w:t>
      </w:r>
      <w:r>
        <w:rPr>
          <w:rFonts w:hint="eastAsia" w:ascii="Times New Roman" w:hAnsi="Times New Roman" w:eastAsia="仿宋_GB2312" w:cs="Times New Roman"/>
          <w:bCs/>
          <w:sz w:val="32"/>
          <w:szCs w:val="32"/>
        </w:rPr>
        <w:t>适应</w:t>
      </w:r>
      <w:r>
        <w:rPr>
          <w:rFonts w:ascii="Times New Roman" w:hAnsi="Times New Roman" w:eastAsia="仿宋_GB2312" w:cs="Times New Roman"/>
          <w:bCs/>
          <w:sz w:val="32"/>
          <w:szCs w:val="32"/>
        </w:rPr>
        <w:t>人口结构调整、积极稳妥推进碳达峰、推进国家安全体系和能力现代化。从行业</w:t>
      </w:r>
      <w:r>
        <w:rPr>
          <w:rFonts w:hint="eastAsia" w:ascii="Times New Roman" w:hAnsi="Times New Roman" w:eastAsia="仿宋_GB2312" w:cs="Times New Roman"/>
          <w:bCs/>
          <w:sz w:val="32"/>
          <w:szCs w:val="32"/>
        </w:rPr>
        <w:t>层面</w:t>
      </w:r>
      <w:r>
        <w:rPr>
          <w:rFonts w:ascii="Times New Roman" w:hAnsi="Times New Roman" w:eastAsia="仿宋_GB2312" w:cs="Times New Roman"/>
          <w:bCs/>
          <w:sz w:val="32"/>
          <w:szCs w:val="32"/>
        </w:rPr>
        <w:t>看，交通运输行业进入基本建成现代化综合交通运输体系的攻坚期、实现交通强国战略目标任务的关键期、培育壮大新质生产力和推动交通运输高质量发展的突破期</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三期叠加</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阶段，</w:t>
      </w:r>
      <w:r>
        <w:rPr>
          <w:rFonts w:hint="eastAsia" w:ascii="Times New Roman" w:hAnsi="Times New Roman" w:eastAsia="仿宋_GB2312" w:cs="Times New Roman"/>
          <w:bCs/>
          <w:sz w:val="32"/>
          <w:szCs w:val="32"/>
        </w:rPr>
        <w:t>这个阶段的特点集中体现在“三个转向”，即综合交通运输体系建设的推进方式由分方式成网的综合性推进转向跨区域统筹布局、跨方式一体衔接、跨领域深度融合推进；发展动能由主要依靠要素驱动转向依靠结构优化、数智赋能、绿色转型协同驱动；增长模式由大规模增量扩张转向以做优增量、提质存量为主导的内涵式发展，这个阶段的</w:t>
      </w:r>
      <w:r>
        <w:rPr>
          <w:rFonts w:ascii="Times New Roman" w:hAnsi="Times New Roman" w:eastAsia="仿宋_GB2312" w:cs="Times New Roman"/>
          <w:bCs/>
          <w:sz w:val="32"/>
          <w:szCs w:val="32"/>
        </w:rPr>
        <w:t>重点要抓好</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一网四化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。从山西省</w:t>
      </w:r>
      <w:r>
        <w:rPr>
          <w:rFonts w:hint="eastAsia" w:ascii="Times New Roman" w:hAnsi="Times New Roman" w:eastAsia="仿宋_GB2312" w:cs="Times New Roman"/>
          <w:bCs/>
          <w:sz w:val="32"/>
          <w:szCs w:val="32"/>
        </w:rPr>
        <w:t>层面</w:t>
      </w:r>
      <w:r>
        <w:rPr>
          <w:rFonts w:ascii="Times New Roman" w:hAnsi="Times New Roman" w:eastAsia="仿宋_GB2312" w:cs="Times New Roman"/>
          <w:bCs/>
          <w:sz w:val="32"/>
          <w:szCs w:val="32"/>
        </w:rPr>
        <w:t>看，将着力建设国家资源型经济转型综合配套改革试验区、着力深化能源革命、着力实施促进中部地区加快崛起战略、着力推动黄河流域生态保护和高质量发展、着力打造内陆地区对外开放新高地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对交通运输发展提出了更高要求。</w:t>
      </w:r>
    </w:p>
    <w:p w14:paraId="4CDECFB8">
      <w:pPr>
        <w:adjustRightInd w:val="0"/>
        <w:spacing w:after="0" w:line="600" w:lineRule="exact"/>
        <w:ind w:firstLine="643" w:firstLineChars="200"/>
        <w:outlineLvl w:val="1"/>
        <w:rPr>
          <w:rFonts w:ascii="楷体_GB2312" w:hAnsi="仿宋_GB2312" w:eastAsia="楷体_GB2312" w:cs="仿宋_GB2312"/>
          <w:b/>
          <w:bCs/>
          <w:sz w:val="32"/>
          <w:szCs w:val="32"/>
        </w:rPr>
      </w:pPr>
      <w:bookmarkStart w:id="12" w:name="_Toc226561966"/>
      <w:bookmarkStart w:id="13" w:name="_Toc221120241"/>
      <w:r>
        <w:rPr>
          <w:rFonts w:hint="eastAsia" w:ascii="楷体_GB2312" w:hAnsi="仿宋_GB2312" w:eastAsia="楷体_GB2312" w:cs="仿宋_GB2312"/>
          <w:b/>
          <w:bCs/>
          <w:sz w:val="32"/>
          <w:szCs w:val="32"/>
        </w:rPr>
        <w:t>（二）发展要求</w:t>
      </w:r>
      <w:bookmarkEnd w:id="12"/>
      <w:bookmarkEnd w:id="13"/>
    </w:p>
    <w:p w14:paraId="3B09077A">
      <w:pPr>
        <w:adjustRightInd w:val="0"/>
        <w:spacing w:after="0"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sz w:val="32"/>
          <w:szCs w:val="32"/>
        </w:rPr>
        <w:t>一是要求主动融入国家及山西省重大战略全局。</w:t>
      </w:r>
      <w:r>
        <w:rPr>
          <w:rFonts w:hint="eastAsia" w:ascii="仿宋_GB2312" w:hAnsi="仿宋_GB2312" w:eastAsia="仿宋_GB2312" w:cs="仿宋_GB2312"/>
          <w:sz w:val="32"/>
          <w:szCs w:val="32"/>
        </w:rPr>
        <w:t>国家对中部地区的政策支持力度持续加大，在产业转移、基础设施建设、科技创新等领域给予更多倾斜，中部地区在全国经济格局中的地位愈发重要。“十五五”时期是山西省推动高质量发展、深化全方位转型取得突破性进展的宝贵窗口期。晋城市具备融入中原城市群向南发展、借力关中平原城市群向西发展的有利条件，需立足自身区位优势，不断完善高速铁路、高速公路、国省干道等对外骨干通道建设，着力提升综合交通枢纽位势能级，主动强化与郑州、西安、太原等城市立体化、无缝化、一体化交通衔接，高水平打造区域发展极，深度融入和有力支撑区域城市群高质量发展。</w:t>
      </w:r>
    </w:p>
    <w:p w14:paraId="6B34D9D6">
      <w:pPr>
        <w:adjustRightInd w:val="0"/>
        <w:spacing w:after="0"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sz w:val="32"/>
          <w:szCs w:val="32"/>
        </w:rPr>
        <w:t>二是要求提升“人享其行”“物畅其流”服务品质。</w:t>
      </w:r>
      <w:r>
        <w:rPr>
          <w:rFonts w:hint="eastAsia" w:ascii="仿宋_GB2312" w:hAnsi="仿宋_GB2312" w:eastAsia="仿宋_GB2312" w:cs="仿宋_GB2312"/>
          <w:sz w:val="32"/>
          <w:szCs w:val="32"/>
        </w:rPr>
        <w:t>党的二十届四中全会再次对加快建设交通强国作出战略部署，“十五五”时期，将进一步完善现代化综合交通运输体系，加快建设交通强国。随着人民生活水平提高，对美好出行的需求日益多样化、个性化，对运输服务的便捷性、舒适性、安全性要求更高。晋城市作为交通强国建设的重要参与者，需紧跟“十五五”国家交通运输战略部署，校准方向，加快交通基础设施升级改造，提升交通运输服务能力，满足人民群众日益增长的出行需求，同时，要不断强化货运物流功能、畅通物流集疏运通道，构建经济高效现代物流体系，推动产业体系高质量转型发展，最终适应交通强国建设的新要求。</w:t>
      </w:r>
    </w:p>
    <w:p w14:paraId="59CD2B48">
      <w:pPr>
        <w:adjustRightInd w:val="0"/>
        <w:spacing w:after="0" w:line="600" w:lineRule="exact"/>
        <w:ind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三是要求加强跨区域、跨方式、跨领域一体化融合。</w:t>
      </w:r>
      <w:r>
        <w:rPr>
          <w:rFonts w:hint="eastAsia" w:ascii="仿宋_GB2312" w:hAnsi="仿宋_GB2312" w:eastAsia="仿宋_GB2312" w:cs="仿宋_GB2312"/>
          <w:sz w:val="32"/>
          <w:szCs w:val="32"/>
        </w:rPr>
        <w:t>全面乡村振兴战略深入实施，对农村基础设施建设、产业发展、公共服务提升等方面提出更高要求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晋城市农村地区地域广阔，交通基础设施建设仍有较大提升空间，</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抓住乡村振兴战略机遇</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城乡融合</w:t>
      </w:r>
      <w:r>
        <w:rPr>
          <w:rFonts w:hint="eastAsia" w:ascii="仿宋_GB2312" w:hAnsi="仿宋_GB2312" w:eastAsia="仿宋_GB2312" w:cs="仿宋_GB2312"/>
          <w:sz w:val="32"/>
          <w:szCs w:val="32"/>
          <w:lang w:eastAsia="zh-CN"/>
        </w:rPr>
        <w:t>。“十五五”时期，随着晋城市补齐民航运输方式，即具备发挥各种运输方式比较优势的前提，要求调整运输结构，大力发展多式联运。</w:t>
      </w:r>
      <w:r>
        <w:rPr>
          <w:rFonts w:hint="eastAsia" w:ascii="仿宋_GB2312" w:hAnsi="仿宋_GB2312" w:eastAsia="仿宋_GB2312" w:cs="仿宋_GB2312"/>
          <w:sz w:val="32"/>
          <w:szCs w:val="32"/>
          <w:lang w:val="en-US" w:eastAsia="zh-CN"/>
        </w:rPr>
        <w:t>晋城市正加速构建“1+5”现代产业体系，“十五五”期间要实现现代化产业体系新跃升，需通过交通与产业融合（尤其是交通与能源、交通与旅游）释放发展动能。</w:t>
      </w:r>
    </w:p>
    <w:p w14:paraId="6FDFCD11">
      <w:pPr>
        <w:adjustRightInd w:val="0"/>
        <w:spacing w:after="0" w:line="600" w:lineRule="exact"/>
        <w:ind w:firstLine="64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四是要求守牢安全发展底线</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统筹发展和安全是交通运输领域的核心要求，在推进交通强市建设进程中，晋城市既面临夯实安全基础、提升本质安全水平的机遇，也面临安全风险点多面广、隐患排查整治难度大、应急处置能力有待提升等挑战，这就要求晋城市守牢安全发展底线，强化灾害天气主动防御，坚决遏制重特大事故，加强应急救援体系建设，切实保障人民群众生命财产安全和交通运输行业安全稳定发展。</w:t>
      </w:r>
    </w:p>
    <w:p w14:paraId="09E1C39F">
      <w:pPr>
        <w:adjustRightInd w:val="0"/>
        <w:spacing w:after="0"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是要求加快培育交通新质生产力。</w:t>
      </w:r>
      <w:r>
        <w:rPr>
          <w:rFonts w:hint="eastAsia" w:ascii="仿宋_GB2312" w:hAnsi="仿宋_GB2312" w:eastAsia="仿宋_GB2312" w:cs="仿宋_GB2312"/>
          <w:sz w:val="32"/>
          <w:szCs w:val="32"/>
        </w:rPr>
        <w:t>新一轮科技革命和产业变革加速演进，人工智能、大数据、物联网、区块链等新技术在交通运输领域广泛应用，催生出一系列新业态、新模式。在创新驱动发展和全面深化改革中，晋城市既面临利用新技术提升交通发展质量效率的机遇，也面临创新人才短缺、改革难度较大等挑战，需积极营造创新环境，培养引进创新人才，创新培育智慧化交通应用场景，同时加大改革力度，探索适合自身发展的交通治理体系和运行机制。</w:t>
      </w:r>
    </w:p>
    <w:p w14:paraId="33F7B5F0">
      <w:pPr>
        <w:adjustRightInd w:val="0"/>
        <w:spacing w:after="0"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六是要求以“双碳”战略为牵引推动绿色转型。</w:t>
      </w:r>
      <w:r>
        <w:rPr>
          <w:rFonts w:hint="eastAsia" w:ascii="仿宋_GB2312" w:hAnsi="仿宋_GB2312" w:eastAsia="仿宋_GB2312" w:cs="仿宋_GB2312"/>
          <w:sz w:val="32"/>
          <w:szCs w:val="32"/>
        </w:rPr>
        <w:t>“十五五”期间我国生态文明建设和“双碳”战略将持续深入推进，对交通运输行业的绿色低碳发展提出更为严格的目标任务。晋城市作为能源资源型城市，在“双碳”目标约束下，面临加快交通能源转型、推广绿色运输方式、提升交通基础设施绿色化水平等紧迫任务，需积极探索绿色低碳发展路径，实现交通运输与生态环境协调发展。</w:t>
      </w:r>
    </w:p>
    <w:p w14:paraId="528BE6C5">
      <w:pPr>
        <w:spacing w:after="0"/>
        <w:ind w:firstLine="641"/>
      </w:pPr>
    </w:p>
    <w:p w14:paraId="2889E0A2">
      <w:pPr>
        <w:adjustRightInd w:val="0"/>
        <w:spacing w:after="0" w:line="600" w:lineRule="exact"/>
        <w:ind w:firstLine="640" w:firstLineChars="200"/>
        <w:outlineLvl w:val="0"/>
        <w:rPr>
          <w:rFonts w:ascii="黑体" w:hAnsi="黑体" w:eastAsia="黑体" w:cs="Times New Roman"/>
          <w:sz w:val="32"/>
          <w:szCs w:val="32"/>
        </w:rPr>
        <w:sectPr>
          <w:pgSz w:w="11906" w:h="16838"/>
          <w:pgMar w:top="1440" w:right="1800" w:bottom="1440" w:left="1800" w:header="851" w:footer="850" w:gutter="0"/>
          <w:cols w:space="425" w:num="1"/>
          <w:docGrid w:type="lines" w:linePitch="326" w:charSpace="0"/>
        </w:sectPr>
      </w:pPr>
    </w:p>
    <w:p w14:paraId="3E3B6B5F">
      <w:pPr>
        <w:adjustRightInd w:val="0"/>
        <w:spacing w:after="0" w:line="600" w:lineRule="exact"/>
        <w:ind w:firstLine="640" w:firstLineChars="200"/>
        <w:outlineLvl w:val="0"/>
        <w:rPr>
          <w:rFonts w:ascii="黑体" w:hAnsi="黑体" w:eastAsia="黑体" w:cs="Times New Roman"/>
          <w:sz w:val="32"/>
          <w:szCs w:val="32"/>
        </w:rPr>
      </w:pPr>
      <w:bookmarkStart w:id="14" w:name="_Toc24765"/>
      <w:bookmarkStart w:id="15" w:name="_Toc221120242"/>
      <w:bookmarkStart w:id="16" w:name="_Toc226561967"/>
      <w:r>
        <w:rPr>
          <w:rFonts w:hint="eastAsia" w:ascii="黑体" w:hAnsi="黑体" w:eastAsia="黑体" w:cs="Times New Roman"/>
          <w:sz w:val="32"/>
          <w:szCs w:val="32"/>
        </w:rPr>
        <w:t>三、总体要求</w:t>
      </w:r>
      <w:bookmarkEnd w:id="14"/>
      <w:bookmarkEnd w:id="15"/>
      <w:bookmarkEnd w:id="16"/>
    </w:p>
    <w:p w14:paraId="17460C02">
      <w:pPr>
        <w:adjustRightInd w:val="0"/>
        <w:spacing w:after="0" w:line="600" w:lineRule="exact"/>
        <w:ind w:firstLine="643" w:firstLineChars="200"/>
        <w:outlineLvl w:val="1"/>
        <w:rPr>
          <w:rFonts w:ascii="楷体_GB2312" w:hAnsi="仿宋_GB2312" w:eastAsia="楷体_GB2312" w:cs="仿宋_GB2312"/>
          <w:b/>
          <w:bCs/>
          <w:sz w:val="32"/>
          <w:szCs w:val="32"/>
        </w:rPr>
      </w:pPr>
      <w:bookmarkStart w:id="17" w:name="_Toc226561968"/>
      <w:bookmarkStart w:id="18" w:name="_Toc32743"/>
      <w:bookmarkStart w:id="19" w:name="_Toc221120243"/>
      <w:r>
        <w:rPr>
          <w:rFonts w:hint="eastAsia" w:ascii="楷体_GB2312" w:hAnsi="仿宋_GB2312" w:eastAsia="楷体_GB2312" w:cs="仿宋_GB2312"/>
          <w:b/>
          <w:bCs/>
          <w:sz w:val="32"/>
          <w:szCs w:val="32"/>
        </w:rPr>
        <w:t>（一）</w:t>
      </w:r>
      <w:bookmarkEnd w:id="11"/>
      <w:r>
        <w:rPr>
          <w:rFonts w:hint="eastAsia" w:ascii="楷体_GB2312" w:hAnsi="仿宋_GB2312" w:eastAsia="楷体_GB2312" w:cs="仿宋_GB2312"/>
          <w:b/>
          <w:bCs/>
          <w:sz w:val="32"/>
          <w:szCs w:val="32"/>
        </w:rPr>
        <w:t>指导思想</w:t>
      </w:r>
      <w:bookmarkEnd w:id="17"/>
      <w:bookmarkEnd w:id="18"/>
      <w:bookmarkEnd w:id="19"/>
    </w:p>
    <w:p w14:paraId="65007506">
      <w:pPr>
        <w:adjustRightInd w:val="0"/>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二十大和二十届历次全会精神，全面落实习近平总书记关于交通运输发展的系列重要论述与视察山西重要讲话精神，锚定建设共同富裕新晋城的战略目标，聚焦“六大战略定位”、全力抓好“十件大事”的总体要求，牢牢把握交通作为中国式现代化开路先锋的使命定位，坚持以新发展理念引领推动高质量内涵式发展，紧扣行业“一网四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主攻方向</w:t>
      </w:r>
      <w:r>
        <w:rPr>
          <w:rFonts w:ascii="仿宋_GB2312" w:hAnsi="仿宋_GB2312" w:eastAsia="仿宋_GB2312" w:cs="仿宋_GB2312"/>
          <w:sz w:val="32"/>
          <w:szCs w:val="32"/>
        </w:rPr>
        <w:t>，以“提存量、优增量”“补短板、强服务”“促转型、育新质”“重融合、精治理”为重要抓手，着力推进通道和枢纽设施建设，持续提升运输能力和服务品质，加强与产业深度融合，推动服务消费扩容</w:t>
      </w:r>
      <w:r>
        <w:rPr>
          <w:rFonts w:hint="eastAsia" w:ascii="仿宋_GB2312" w:hAnsi="仿宋_GB2312" w:eastAsia="仿宋_GB2312" w:cs="仿宋_GB2312"/>
          <w:sz w:val="32"/>
          <w:szCs w:val="32"/>
        </w:rPr>
        <w:t>提质，牵引带动经济转型发展，加快构建内畅外通、便捷高效、安全可靠、绿色智能的现代综合交通运输体系，将战略区位优势更好转化为开放发展优势，为谱写中国式现代化晋城篇章提供有力支撑。</w:t>
      </w:r>
    </w:p>
    <w:p w14:paraId="295E08DB">
      <w:pPr>
        <w:adjustRightInd w:val="0"/>
        <w:spacing w:after="0" w:line="600" w:lineRule="exact"/>
        <w:ind w:firstLine="643" w:firstLineChars="200"/>
        <w:outlineLvl w:val="1"/>
        <w:rPr>
          <w:rFonts w:ascii="楷体_GB2312" w:hAnsi="仿宋_GB2312" w:eastAsia="楷体_GB2312" w:cs="仿宋_GB2312"/>
          <w:b/>
          <w:bCs/>
          <w:sz w:val="32"/>
          <w:szCs w:val="32"/>
        </w:rPr>
      </w:pPr>
      <w:bookmarkStart w:id="20" w:name="_Toc226561969"/>
      <w:r>
        <w:rPr>
          <w:rFonts w:hint="eastAsia" w:ascii="楷体_GB2312" w:hAnsi="仿宋_GB2312" w:eastAsia="楷体_GB2312" w:cs="仿宋_GB2312"/>
          <w:b/>
          <w:bCs/>
          <w:sz w:val="32"/>
          <w:szCs w:val="32"/>
        </w:rPr>
        <w:t>（二）基本原则</w:t>
      </w:r>
      <w:bookmarkEnd w:id="20"/>
    </w:p>
    <w:p w14:paraId="71AB87E9">
      <w:pPr>
        <w:pStyle w:val="67"/>
        <w:ind w:firstLine="643"/>
        <w:rPr>
          <w:rFonts w:cs="Times New Roman"/>
          <w:b/>
          <w:bCs/>
          <w:szCs w:val="32"/>
        </w:rPr>
      </w:pPr>
      <w:r>
        <w:rPr>
          <w:rFonts w:hint="eastAsia" w:cs="Times New Roman"/>
          <w:b/>
          <w:bCs/>
          <w:szCs w:val="32"/>
        </w:rPr>
        <w:t>当好先锋，服务人民。</w:t>
      </w:r>
      <w:r>
        <w:rPr>
          <w:rFonts w:hint="eastAsia" w:cs="Times New Roman"/>
          <w:szCs w:val="32"/>
        </w:rPr>
        <w:t>坚持以人民为中心的发展思想，发挥交通运输先行引领作用，聚焦人民群众日益增长的美好生活出行需要，不断增强人民群众的获得感、幸福感、安全感，为扎实推进共同富裕筑牢坚实交通保障。</w:t>
      </w:r>
    </w:p>
    <w:p w14:paraId="6EF53F6E">
      <w:pPr>
        <w:pStyle w:val="67"/>
        <w:ind w:firstLine="643"/>
        <w:rPr>
          <w:rFonts w:cs="Times New Roman"/>
          <w:szCs w:val="32"/>
        </w:rPr>
      </w:pPr>
      <w:r>
        <w:rPr>
          <w:rFonts w:hint="eastAsia" w:cs="Times New Roman"/>
          <w:b/>
          <w:bCs/>
          <w:szCs w:val="32"/>
        </w:rPr>
        <w:t>战略引领，开放发展</w:t>
      </w:r>
      <w:r>
        <w:rPr>
          <w:rFonts w:hint="eastAsia" w:cs="Times New Roman"/>
          <w:b/>
          <w:bCs/>
          <w:color w:val="auto"/>
          <w:szCs w:val="32"/>
        </w:rPr>
        <w:t>。</w:t>
      </w:r>
      <w:r>
        <w:rPr>
          <w:rFonts w:hint="eastAsia" w:cs="Times New Roman"/>
          <w:szCs w:val="32"/>
        </w:rPr>
        <w:t>紧扣国家“交通强国”战略和晋城市“对外开放先行市”功能定位，深度融入中原城市群、关中平原城市群等区域重大发展战略，坚持“一体融合、开放合作”理念，强化与周边地区基础设施贯通和能力协调。</w:t>
      </w:r>
    </w:p>
    <w:p w14:paraId="0C69A4B6">
      <w:pPr>
        <w:pStyle w:val="67"/>
        <w:ind w:firstLine="643"/>
        <w:rPr>
          <w:rFonts w:cs="Times New Roman"/>
          <w:szCs w:val="32"/>
        </w:rPr>
      </w:pPr>
      <w:bookmarkStart w:id="21" w:name="OLE_LINK127"/>
      <w:r>
        <w:rPr>
          <w:rFonts w:hint="eastAsia" w:cs="Times New Roman"/>
          <w:b/>
          <w:bCs/>
          <w:szCs w:val="32"/>
        </w:rPr>
        <w:t>统筹协调，融合发展</w:t>
      </w:r>
      <w:bookmarkEnd w:id="21"/>
      <w:r>
        <w:rPr>
          <w:rFonts w:hint="eastAsia" w:cs="Times New Roman"/>
          <w:b/>
          <w:bCs/>
          <w:color w:val="auto"/>
          <w:szCs w:val="32"/>
        </w:rPr>
        <w:t>。</w:t>
      </w:r>
      <w:r>
        <w:rPr>
          <w:rFonts w:hint="eastAsia" w:cs="Times New Roman"/>
          <w:szCs w:val="32"/>
        </w:rPr>
        <w:t>统筹铁路、公路、航空等基础设施规划与建设，推动运输方式间协同衔接，构建功能互补、运转高效的综合交通运输体系。推进运输资源整合与新老业态融合，壮大“交通+”产业生态，促进交通与制造、能源、文化旅游等产业融合发展。</w:t>
      </w:r>
    </w:p>
    <w:p w14:paraId="6468B05B">
      <w:pPr>
        <w:pStyle w:val="67"/>
        <w:ind w:firstLine="643"/>
        <w:rPr>
          <w:rFonts w:cs="Times New Roman"/>
          <w:szCs w:val="32"/>
        </w:rPr>
      </w:pPr>
      <w:r>
        <w:rPr>
          <w:rFonts w:hint="eastAsia" w:cs="Times New Roman"/>
          <w:b/>
          <w:bCs/>
          <w:szCs w:val="32"/>
        </w:rPr>
        <w:t>智慧赋能</w:t>
      </w:r>
      <w:r>
        <w:rPr>
          <w:rFonts w:hint="eastAsia" w:cs="Times New Roman"/>
          <w:b/>
          <w:bCs/>
          <w:szCs w:val="32"/>
          <w:lang w:eastAsia="zh-CN"/>
        </w:rPr>
        <w:t>，</w:t>
      </w:r>
      <w:r>
        <w:rPr>
          <w:rFonts w:hint="eastAsia" w:cs="Times New Roman"/>
          <w:b/>
          <w:bCs/>
          <w:szCs w:val="32"/>
        </w:rPr>
        <w:t>创新发展。</w:t>
      </w:r>
      <w:r>
        <w:rPr>
          <w:rFonts w:hint="eastAsia" w:cs="Times New Roman"/>
          <w:szCs w:val="32"/>
        </w:rPr>
        <w:t>加快推动人工智能等新一代信息技术与交通运输深度融合，提升交通管理智能化水平。加强跨部门、跨层级信息系统共建共享与业务协同，推动运输服务模式、行业治理方式创新，强化科技赋能，发展交通新质生产力。</w:t>
      </w:r>
    </w:p>
    <w:p w14:paraId="197E5BFF">
      <w:pPr>
        <w:adjustRightInd w:val="0"/>
        <w:spacing w:after="0" w:line="600" w:lineRule="exact"/>
        <w:ind w:firstLine="643" w:firstLineChars="200"/>
        <w:rPr>
          <w:rFonts w:hint="eastAsia" w:ascii="仿宋_GB2312" w:hAnsi="仿宋_GB2312" w:eastAsia="仿宋_GB2312" w:cs="仿宋_GB2312"/>
          <w:sz w:val="32"/>
          <w:szCs w:val="32"/>
        </w:rPr>
      </w:pPr>
      <w:r>
        <w:rPr>
          <w:rFonts w:hint="eastAsia" w:ascii="Times New Roman" w:hAnsi="Times New Roman" w:eastAsia="仿宋_GB2312" w:cs="Times New Roman"/>
          <w:b/>
          <w:bCs/>
          <w:color w:val="000000"/>
          <w:sz w:val="32"/>
          <w:szCs w:val="32"/>
          <w:u w:color="000000"/>
          <w14:ligatures w14:val="none"/>
        </w:rPr>
        <w:t>安全绿色</w:t>
      </w:r>
      <w:r>
        <w:rPr>
          <w:rFonts w:hint="eastAsia" w:ascii="Times New Roman" w:hAnsi="Times New Roman" w:eastAsia="仿宋_GB2312" w:cs="Times New Roman"/>
          <w:b/>
          <w:bCs/>
          <w:color w:val="000000"/>
          <w:sz w:val="32"/>
          <w:szCs w:val="32"/>
          <w:u w:color="000000"/>
          <w:lang w:eastAsia="zh-CN"/>
          <w14:ligatures w14:val="none"/>
        </w:rPr>
        <w:t>，</w:t>
      </w:r>
      <w:r>
        <w:rPr>
          <w:rFonts w:hint="eastAsia" w:ascii="Times New Roman" w:hAnsi="Times New Roman" w:eastAsia="仿宋_GB2312" w:cs="Times New Roman"/>
          <w:b/>
          <w:bCs/>
          <w:color w:val="000000"/>
          <w:sz w:val="32"/>
          <w:szCs w:val="32"/>
          <w:u w:color="000000"/>
          <w14:ligatures w14:val="none"/>
        </w:rPr>
        <w:t>可持续发展。</w:t>
      </w:r>
      <w:r>
        <w:rPr>
          <w:rFonts w:hint="eastAsia" w:ascii="Times New Roman" w:hAnsi="Times New Roman" w:eastAsia="仿宋_GB2312" w:cs="Times New Roman"/>
          <w:color w:val="000000"/>
          <w:sz w:val="32"/>
          <w:szCs w:val="32"/>
          <w:u w:color="000000"/>
          <w14:ligatures w14:val="none"/>
        </w:rPr>
        <w:t>坚持生命至上，健全交通运输安全管理制度和应急保障体系，提升交通基础设施韧性和安全防护能力。坚持生态优先，推广新能源与清洁能源应用，推动节能减排和资源集约利用，构建绿色低碳、安全可靠的交通运输体系。</w:t>
      </w:r>
    </w:p>
    <w:p w14:paraId="12699445">
      <w:pPr>
        <w:adjustRightInd w:val="0"/>
        <w:spacing w:after="0" w:line="600" w:lineRule="exact"/>
        <w:ind w:firstLine="643" w:firstLineChars="200"/>
        <w:outlineLvl w:val="1"/>
        <w:rPr>
          <w:rFonts w:ascii="楷体_GB2312" w:hAnsi="仿宋_GB2312" w:eastAsia="楷体_GB2312" w:cs="仿宋_GB2312"/>
          <w:b/>
          <w:bCs/>
          <w:sz w:val="32"/>
          <w:szCs w:val="32"/>
        </w:rPr>
      </w:pPr>
      <w:bookmarkStart w:id="22" w:name="_Toc226561970"/>
      <w:bookmarkStart w:id="23" w:name="_Toc221120244"/>
      <w:bookmarkStart w:id="24" w:name="_Toc21813"/>
      <w:r>
        <w:rPr>
          <w:rFonts w:hint="eastAsia" w:ascii="楷体_GB2312" w:hAnsi="仿宋_GB2312" w:eastAsia="楷体_GB2312" w:cs="仿宋_GB2312"/>
          <w:b/>
          <w:bCs/>
          <w:sz w:val="32"/>
          <w:szCs w:val="32"/>
        </w:rPr>
        <w:t>（三）发展目标</w:t>
      </w:r>
      <w:bookmarkEnd w:id="22"/>
      <w:bookmarkEnd w:id="23"/>
      <w:bookmarkEnd w:id="24"/>
    </w:p>
    <w:p w14:paraId="1562BEE1">
      <w:pPr>
        <w:spacing w:after="0" w:line="600" w:lineRule="exact"/>
        <w:ind w:firstLine="640" w:firstLineChars="200"/>
        <w:rPr>
          <w:rFonts w:ascii="Times New Roman" w:hAnsi="Times New Roman" w:eastAsia="仿宋_GB2312" w:cs="Times New Roman"/>
          <w:color w:val="000000"/>
          <w:sz w:val="32"/>
          <w:szCs w:val="32"/>
          <w:u w:color="000000"/>
          <w14:ligatures w14:val="none"/>
        </w:rPr>
      </w:pPr>
      <w:r>
        <w:rPr>
          <w:rFonts w:hint="eastAsia" w:ascii="Times New Roman" w:hAnsi="Times New Roman" w:eastAsia="仿宋_GB2312" w:cs="Times New Roman"/>
          <w:color w:val="000000"/>
          <w:sz w:val="32"/>
          <w:szCs w:val="32"/>
          <w:u w:color="000000"/>
          <w14:ligatures w14:val="none"/>
        </w:rPr>
        <w:t>到2030年，交通强市建设实现重大跨越，“12333”（1个空港枢纽、2条运输通道、3向辐射网络、3大服务保障体系、3类跨界融合模式）现代综合交通运输体系初步建成，“三晋门户、中原锁钥”的战略区位优势得到充分发挥，稳步建成衔接山西中部城市群与中原城市群的区域性综合交通门户枢纽。</w:t>
      </w:r>
    </w:p>
    <w:p w14:paraId="6F0A3507">
      <w:pPr>
        <w:spacing w:after="0" w:line="600" w:lineRule="exact"/>
        <w:ind w:firstLine="643" w:firstLineChars="200"/>
        <w:rPr>
          <w:rFonts w:ascii="Times New Roman" w:hAnsi="Times New Roman" w:eastAsia="仿宋_GB2312" w:cs="Times New Roman"/>
          <w:color w:val="000000"/>
          <w:sz w:val="32"/>
          <w:szCs w:val="32"/>
          <w:u w:color="000000"/>
          <w14:ligatures w14:val="none"/>
        </w:rPr>
      </w:pPr>
      <w:r>
        <w:rPr>
          <w:rFonts w:ascii="Times New Roman" w:hAnsi="Times New Roman" w:eastAsia="仿宋_GB2312" w:cs="Times New Roman"/>
          <w:b/>
          <w:bCs/>
          <w:color w:val="000000"/>
          <w:sz w:val="32"/>
          <w:szCs w:val="32"/>
          <w:u w:color="000000"/>
          <w14:ligatures w14:val="none"/>
        </w:rPr>
        <w:t>——</w:t>
      </w:r>
      <w:r>
        <w:rPr>
          <w:rFonts w:hint="eastAsia" w:ascii="Times New Roman" w:hAnsi="Times New Roman" w:eastAsia="仿宋_GB2312" w:cs="Times New Roman"/>
          <w:b/>
          <w:bCs/>
          <w:color w:val="000000"/>
          <w:sz w:val="32"/>
          <w:szCs w:val="32"/>
          <w:u w:color="000000"/>
          <w14:ligatures w14:val="none"/>
        </w:rPr>
        <w:t>综合立体交通网主骨架基本形成。</w:t>
      </w:r>
      <w:r>
        <w:rPr>
          <w:rFonts w:hint="eastAsia" w:ascii="Times New Roman" w:hAnsi="Times New Roman" w:eastAsia="仿宋_GB2312" w:cs="Times New Roman"/>
          <w:color w:val="000000"/>
          <w:sz w:val="32"/>
          <w:szCs w:val="32"/>
          <w:u w:color="000000"/>
          <w14:ligatures w14:val="none"/>
        </w:rPr>
        <w:t>晋城民用机场建设加快推进，晋侯高铁争取纳入国家相关规划，“一横一纵”运输通道布局初步构建，“两横三纵两环十出口”的高速公路网基本建成，“三横五纵两联十一出口”的普通干线公路网更加完善，“六横九纵多联多循环”的农村骨干路网持续优化。区域路网联通水平显著提升，形成出市铁路线路3条、高速公路通道5条、对接中原城市群干线公路通道10条的路网格局。中心城区高快速路网体系逐步形成，农村公路网提质扩面，公路总里程达到10300公里，基本实现“主城内外环、县（市）双高速、乡镇双通道、邻村联网路”。</w:t>
      </w:r>
    </w:p>
    <w:p w14:paraId="29E00D5A">
      <w:pPr>
        <w:spacing w:after="0" w:line="600" w:lineRule="exact"/>
        <w:ind w:firstLine="643" w:firstLineChars="200"/>
        <w:rPr>
          <w:rFonts w:ascii="Times New Roman" w:hAnsi="Times New Roman" w:eastAsia="仿宋_GB2312" w:cs="Times New Roman"/>
          <w:color w:val="000000"/>
          <w:sz w:val="32"/>
          <w:szCs w:val="32"/>
          <w:u w:color="000000"/>
          <w14:ligatures w14:val="none"/>
        </w:rPr>
      </w:pPr>
      <w:r>
        <w:rPr>
          <w:rFonts w:ascii="Times New Roman" w:hAnsi="Times New Roman" w:eastAsia="仿宋_GB2312" w:cs="Times New Roman"/>
          <w:b/>
          <w:bCs/>
          <w:color w:val="000000"/>
          <w:sz w:val="32"/>
          <w:szCs w:val="32"/>
          <w:u w:color="000000"/>
          <w14:ligatures w14:val="none"/>
        </w:rPr>
        <w:t>——</w:t>
      </w:r>
      <w:r>
        <w:rPr>
          <w:rFonts w:hint="eastAsia" w:ascii="Times New Roman" w:hAnsi="Times New Roman" w:eastAsia="仿宋_GB2312" w:cs="Times New Roman"/>
          <w:b/>
          <w:bCs/>
          <w:color w:val="000000"/>
          <w:sz w:val="32"/>
          <w:szCs w:val="32"/>
          <w:u w:color="000000"/>
          <w14:ligatures w14:val="none"/>
        </w:rPr>
        <w:t>运输能力和服务品质显著提升。</w:t>
      </w:r>
      <w:r>
        <w:rPr>
          <w:rFonts w:hint="eastAsia" w:ascii="Times New Roman" w:hAnsi="Times New Roman" w:eastAsia="仿宋_GB2312" w:cs="Times New Roman"/>
          <w:color w:val="000000"/>
          <w:sz w:val="32"/>
          <w:szCs w:val="32"/>
          <w:u w:color="000000"/>
          <w14:ligatures w14:val="none"/>
        </w:rPr>
        <w:t>空港综合交通换乘中心建成运营，快速化、便捷化客运服务能力不断增强。中心城区基本实现“快慢分开、客货分离、过境分流”，实现“15分钟上高速、20分钟到机场、30分钟上高铁”。县级行政中心实现“15分钟上国道、15分钟上高速、60分钟上高铁”。太行一号旅游公路服务能力更加充分、设施体系更加健全，交通跨产业融合深入推进，服务消费潜力持续释放。开工建设空港物流园区起步区，电商快递等专业化物流业态稳步发展，保税物流、低空配送等新兴物流业态实现突破。城乡客货邮融合叠加效应不断显现。</w:t>
      </w:r>
    </w:p>
    <w:p w14:paraId="5D7B30F3">
      <w:pPr>
        <w:spacing w:after="0" w:line="600" w:lineRule="exact"/>
        <w:ind w:firstLine="643" w:firstLineChars="200"/>
        <w:rPr>
          <w:rFonts w:ascii="Times New Roman" w:hAnsi="Times New Roman" w:eastAsia="仿宋_GB2312" w:cs="Times New Roman"/>
          <w:color w:val="000000"/>
          <w:sz w:val="32"/>
          <w:szCs w:val="32"/>
          <w:u w:color="000000"/>
          <w14:ligatures w14:val="none"/>
        </w:rPr>
      </w:pPr>
      <w:r>
        <w:rPr>
          <w:rFonts w:ascii="Times New Roman" w:hAnsi="Times New Roman" w:eastAsia="仿宋_GB2312" w:cs="Times New Roman"/>
          <w:b/>
          <w:bCs/>
          <w:color w:val="000000"/>
          <w:sz w:val="32"/>
          <w:szCs w:val="32"/>
          <w:u w:color="000000"/>
          <w14:ligatures w14:val="none"/>
        </w:rPr>
        <w:t>——</w:t>
      </w:r>
      <w:r>
        <w:rPr>
          <w:rFonts w:hint="eastAsia" w:ascii="Times New Roman" w:hAnsi="Times New Roman" w:eastAsia="仿宋_GB2312" w:cs="Times New Roman"/>
          <w:b/>
          <w:bCs/>
          <w:color w:val="000000"/>
          <w:sz w:val="32"/>
          <w:szCs w:val="32"/>
          <w:u w:color="000000"/>
          <w14:ligatures w14:val="none"/>
        </w:rPr>
        <w:t>可持续交通发展取得长足进步。</w:t>
      </w:r>
      <w:r>
        <w:rPr>
          <w:rFonts w:hint="eastAsia" w:ascii="Times New Roman" w:hAnsi="Times New Roman" w:eastAsia="仿宋_GB2312" w:cs="Times New Roman"/>
          <w:color w:val="000000"/>
          <w:sz w:val="32"/>
          <w:szCs w:val="32"/>
          <w:u w:color="000000"/>
          <w14:ligatures w14:val="none"/>
        </w:rPr>
        <w:t>“城市大脑”智慧交通数字化平台功能持续完善，重点营运车辆运行状态数据采集率和接入率达到100％，高速公路示范段数字化转型加快落地应用，非现场执法、低空物流、低空巡检、无人驾驶公交车等新兴场景不断涌现，交通与新技术融合发展取得实质进展。低碳设施装备更新有序推进，城市公交车、巡游出租车、城市配送货车新能源比例达到100%，充电桩布局均衡合理，交通与能源实现双向融合赋能。安全监管体系更加完善，路网安全韧性、应急救援能力持续提升，安全生产形势保持总体稳定。交通运输综合行政执法改革进一步深化，以信用为基础的新型市场监管机制逐步建立，全社会共建共治共享的交通运输治理格局初步形成。</w:t>
      </w:r>
    </w:p>
    <w:p w14:paraId="3C70BD6E">
      <w:pPr>
        <w:spacing w:after="0" w:line="600" w:lineRule="exact"/>
        <w:ind w:firstLine="640" w:firstLineChars="200"/>
        <w:rPr>
          <w:rFonts w:ascii="Times New Roman" w:hAnsi="Times New Roman" w:eastAsia="仿宋_GB2312" w:cs="Times New Roman"/>
          <w:color w:val="000000"/>
          <w:sz w:val="32"/>
          <w:szCs w:val="32"/>
          <w:u w:color="000000"/>
          <w14:ligatures w14:val="none"/>
        </w:rPr>
      </w:pPr>
      <w:r>
        <w:rPr>
          <w:rFonts w:hint="eastAsia" w:ascii="Times New Roman" w:hAnsi="Times New Roman" w:eastAsia="仿宋_GB2312" w:cs="Times New Roman"/>
          <w:color w:val="000000"/>
          <w:sz w:val="32"/>
          <w:szCs w:val="32"/>
          <w:u w:color="000000"/>
          <w14:ligatures w14:val="none"/>
        </w:rPr>
        <w:t>到2035年，建成便捷顺畅、经济高效、绿色集约、智能先进、安全可靠的现代化高质量综合立体交通网络，形成“123出行交通圈”和“123快货物流圈”。在基本建成交通强市的基础上，交通运输总体发展水平达到省内领先，有力支撑晋城在奋进“两个基本实现”目标上走在前列。</w:t>
      </w:r>
    </w:p>
    <w:p w14:paraId="69A5D8E4">
      <w:pPr>
        <w:adjustRightInd w:val="0"/>
        <w:spacing w:after="0" w:line="600" w:lineRule="exact"/>
        <w:ind w:firstLine="640" w:firstLineChars="200"/>
        <w:outlineLvl w:val="0"/>
        <w:rPr>
          <w:rFonts w:ascii="黑体" w:hAnsi="黑体" w:eastAsia="黑体" w:cs="Times New Roman"/>
          <w:sz w:val="32"/>
          <w:szCs w:val="32"/>
        </w:rPr>
        <w:sectPr>
          <w:pgSz w:w="11906" w:h="16838"/>
          <w:pgMar w:top="1440" w:right="1800" w:bottom="1440" w:left="1800" w:header="851" w:footer="850" w:gutter="0"/>
          <w:cols w:space="425" w:num="1"/>
          <w:docGrid w:type="lines" w:linePitch="326" w:charSpace="0"/>
        </w:sectPr>
      </w:pPr>
    </w:p>
    <w:p w14:paraId="310B3B8A">
      <w:pPr>
        <w:adjustRightInd w:val="0"/>
        <w:spacing w:after="0" w:line="600" w:lineRule="exact"/>
        <w:ind w:firstLine="640" w:firstLineChars="200"/>
        <w:outlineLvl w:val="0"/>
        <w:rPr>
          <w:rFonts w:ascii="黑体" w:hAnsi="黑体" w:eastAsia="黑体" w:cs="Times New Roman"/>
          <w:sz w:val="32"/>
          <w:szCs w:val="32"/>
        </w:rPr>
      </w:pPr>
      <w:bookmarkStart w:id="25" w:name="_Toc221120245"/>
      <w:bookmarkStart w:id="26" w:name="_Toc13847"/>
      <w:bookmarkStart w:id="27" w:name="_Toc226561971"/>
      <w:r>
        <w:rPr>
          <w:rFonts w:hint="eastAsia" w:ascii="黑体" w:hAnsi="黑体" w:eastAsia="黑体" w:cs="Times New Roman"/>
          <w:sz w:val="32"/>
          <w:szCs w:val="32"/>
        </w:rPr>
        <w:t>四、重点任务</w:t>
      </w:r>
      <w:bookmarkEnd w:id="25"/>
      <w:bookmarkEnd w:id="26"/>
      <w:bookmarkEnd w:id="27"/>
    </w:p>
    <w:p w14:paraId="10B80621">
      <w:pPr>
        <w:adjustRightInd w:val="0"/>
        <w:spacing w:after="0" w:line="600" w:lineRule="exact"/>
        <w:ind w:firstLine="643" w:firstLineChars="200"/>
        <w:outlineLvl w:val="1"/>
        <w:rPr>
          <w:rFonts w:ascii="楷体_GB2312" w:hAnsi="仿宋_GB2312" w:eastAsia="楷体_GB2312" w:cs="仿宋_GB2312"/>
          <w:b/>
          <w:bCs/>
          <w:sz w:val="32"/>
          <w:szCs w:val="32"/>
        </w:rPr>
      </w:pPr>
      <w:bookmarkStart w:id="28" w:name="_Toc3165"/>
      <w:bookmarkStart w:id="29" w:name="_Toc17795"/>
      <w:bookmarkStart w:id="30" w:name="_Toc221120246"/>
      <w:bookmarkStart w:id="31" w:name="_Toc226561972"/>
      <w:r>
        <w:rPr>
          <w:rFonts w:hint="eastAsia" w:ascii="楷体_GB2312" w:hAnsi="仿宋_GB2312" w:eastAsia="楷体_GB2312" w:cs="仿宋_GB2312"/>
          <w:b/>
          <w:bCs/>
          <w:sz w:val="32"/>
          <w:szCs w:val="32"/>
        </w:rPr>
        <w:t>（一）</w:t>
      </w:r>
      <w:bookmarkEnd w:id="28"/>
      <w:bookmarkEnd w:id="29"/>
      <w:r>
        <w:rPr>
          <w:rFonts w:hint="eastAsia" w:ascii="楷体_GB2312" w:hAnsi="仿宋_GB2312" w:eastAsia="楷体_GB2312" w:cs="仿宋_GB2312"/>
          <w:b/>
          <w:bCs/>
          <w:sz w:val="32"/>
          <w:szCs w:val="32"/>
        </w:rPr>
        <w:t>完善综合立体交通网</w:t>
      </w:r>
      <w:bookmarkEnd w:id="30"/>
      <w:bookmarkEnd w:id="31"/>
    </w:p>
    <w:p w14:paraId="6C780C60">
      <w:pPr>
        <w:spacing w:after="0" w:line="600" w:lineRule="exact"/>
        <w:ind w:firstLine="640" w:firstLineChars="200"/>
        <w:rPr>
          <w:rFonts w:ascii="Times New Roman" w:hAnsi="Times New Roman" w:eastAsia="仿宋_GB2312" w:cs="Times New Roman"/>
          <w:color w:val="000000"/>
          <w:sz w:val="32"/>
          <w:szCs w:val="32"/>
          <w:u w:color="000000"/>
          <w14:ligatures w14:val="none"/>
        </w:rPr>
      </w:pPr>
      <w:r>
        <w:rPr>
          <w:rFonts w:hint="eastAsia" w:ascii="Times New Roman" w:hAnsi="Times New Roman" w:eastAsia="仿宋_GB2312" w:cs="Times New Roman"/>
          <w:color w:val="000000"/>
          <w:sz w:val="32"/>
          <w:szCs w:val="32"/>
          <w:u w:color="000000"/>
          <w14:ligatures w14:val="none"/>
        </w:rPr>
        <w:t>强化交通基础设施互联互通，提升跨市域通道能力，加快普通国省道更新提质，优化干线公路城镇过境，实施新一轮农村公路提升行动，统筹推进对外快速网、市域干线网、中心城区内外衔接网、城乡一体基础网“四网”建设。</w:t>
      </w:r>
    </w:p>
    <w:p w14:paraId="740E3EBB">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32" w:name="_Toc219542909"/>
      <w:bookmarkStart w:id="33" w:name="_Toc221120247"/>
      <w:r>
        <w:rPr>
          <w:rFonts w:hint="eastAsia" w:ascii="Times New Roman" w:hAnsi="Times New Roman" w:eastAsia="仿宋_GB2312" w:cs="Times New Roman"/>
          <w:b/>
          <w:sz w:val="32"/>
          <w:szCs w:val="32"/>
          <w:u w:color="000000"/>
          <w14:ligatures w14:val="none"/>
        </w:rPr>
        <w:t>1. 加快</w:t>
      </w:r>
      <w:bookmarkStart w:id="34" w:name="_Hlk209086803"/>
      <w:r>
        <w:rPr>
          <w:rFonts w:hint="eastAsia" w:ascii="Times New Roman" w:hAnsi="Times New Roman" w:eastAsia="仿宋_GB2312" w:cs="Times New Roman"/>
          <w:b/>
          <w:sz w:val="32"/>
          <w:szCs w:val="32"/>
          <w:u w:color="000000"/>
          <w14:ligatures w14:val="none"/>
        </w:rPr>
        <w:t>构建对外快速网</w:t>
      </w:r>
      <w:bookmarkEnd w:id="32"/>
      <w:bookmarkEnd w:id="33"/>
      <w:bookmarkEnd w:id="34"/>
    </w:p>
    <w:p w14:paraId="5C8BD5BF">
      <w:pPr>
        <w:spacing w:after="0" w:line="600" w:lineRule="exact"/>
        <w:ind w:firstLine="640" w:firstLineChars="200"/>
        <w:rPr>
          <w:rFonts w:ascii="Times New Roman" w:hAnsi="Times New Roman" w:eastAsia="仿宋_GB2312" w:cs="Times New Roman"/>
          <w:color w:val="000000"/>
          <w:sz w:val="32"/>
          <w:szCs w:val="28"/>
          <w:u w:color="000000"/>
          <w14:ligatures w14:val="none"/>
        </w:rPr>
      </w:pPr>
      <w:r>
        <w:rPr>
          <w:rFonts w:hint="eastAsia" w:ascii="Times New Roman" w:hAnsi="Times New Roman" w:eastAsia="仿宋_GB2312" w:cs="Times New Roman"/>
          <w:color w:val="000000"/>
          <w:sz w:val="32"/>
          <w:szCs w:val="32"/>
          <w:u w:color="000000"/>
          <w14:ligatures w14:val="none"/>
        </w:rPr>
        <w:t>强化统筹协调与要素保障，积极推动晋城民用机场项目前期工作，力争开工建设。对接国家《中长期铁路网规划》修编工作，努力实现晋侯高铁项目纳入新一轮规划。加快推进项目前期各项筹备进程，推动项目进入实质性建设阶段。</w:t>
      </w:r>
      <w:r>
        <w:rPr>
          <w:rFonts w:hint="eastAsia" w:ascii="Times New Roman" w:hAnsi="Times New Roman" w:eastAsia="仿宋_GB2312" w:cs="Times New Roman"/>
          <w:color w:val="000000"/>
          <w:sz w:val="32"/>
          <w:szCs w:val="28"/>
          <w:u w:color="000000"/>
          <w14:ligatures w14:val="none"/>
        </w:rPr>
        <w:t>重点推进晋城东南过境（北义城—大箕）、晋城至潼关高速公路阳城至运城段等高速公路项目建设。</w:t>
      </w:r>
    </w:p>
    <w:p w14:paraId="4FD4C32B">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35" w:name="_Toc221120248"/>
      <w:bookmarkStart w:id="36" w:name="_Toc219542910"/>
      <w:r>
        <w:rPr>
          <w:rFonts w:hint="eastAsia" w:ascii="Times New Roman" w:hAnsi="Times New Roman" w:eastAsia="仿宋_GB2312" w:cs="Times New Roman"/>
          <w:b/>
          <w:sz w:val="32"/>
          <w:szCs w:val="32"/>
          <w:u w:color="000000"/>
          <w14:ligatures w14:val="none"/>
        </w:rPr>
        <w:t>2. 持续完善市域干线网</w:t>
      </w:r>
      <w:bookmarkEnd w:id="35"/>
      <w:bookmarkEnd w:id="36"/>
    </w:p>
    <w:p w14:paraId="64E01D3E">
      <w:pPr>
        <w:spacing w:after="0" w:line="600" w:lineRule="exact"/>
        <w:ind w:firstLine="640" w:firstLineChars="200"/>
        <w:rPr>
          <w:rFonts w:ascii="Times New Roman" w:hAnsi="Times New Roman" w:eastAsia="仿宋_GB2312" w:cs="Times New Roman"/>
          <w:color w:val="000000"/>
          <w:sz w:val="32"/>
          <w:szCs w:val="28"/>
          <w:u w:color="000000"/>
          <w14:ligatures w14:val="none"/>
        </w:rPr>
      </w:pPr>
      <w:r>
        <w:rPr>
          <w:rFonts w:hint="eastAsia" w:ascii="Times New Roman" w:hAnsi="Times New Roman" w:eastAsia="仿宋_GB2312" w:cs="Times New Roman"/>
          <w:color w:val="000000"/>
          <w:sz w:val="32"/>
          <w:szCs w:val="32"/>
          <w:u w:color="000000"/>
          <w14:ligatures w14:val="none"/>
        </w:rPr>
        <w:t>实施太焦铁路长治北至后寨段扩能改造、侯月通道能力提升2个“联网补网强链”项目，进一步提升煤炭外运能力。新建晋城市西北部专用铁路等4条线路，改建申家庄铁路专用线等2条线路，适时完善太焦铁路和侯月铁路联络线。</w:t>
      </w:r>
      <w:r>
        <w:rPr>
          <w:rFonts w:hint="eastAsia" w:ascii="Times New Roman" w:hAnsi="Times New Roman" w:eastAsia="仿宋_GB2312" w:cs="Times New Roman"/>
          <w:bCs/>
          <w:color w:val="000000"/>
          <w:sz w:val="32"/>
          <w:szCs w:val="32"/>
          <w:u w:color="000000"/>
          <w14:ligatures w14:val="none"/>
        </w:rPr>
        <w:t>持续推进</w:t>
      </w:r>
      <w:r>
        <w:rPr>
          <w:rFonts w:hint="eastAsia" w:ascii="Times New Roman" w:hAnsi="Times New Roman" w:eastAsia="仿宋_GB2312" w:cs="Times New Roman"/>
          <w:color w:val="000000"/>
          <w:sz w:val="32"/>
          <w:szCs w:val="32"/>
          <w:u w:color="000000"/>
          <w14:ligatures w14:val="none"/>
        </w:rPr>
        <w:t>国道342西上庄至周村公路改造工程、国道208长治司马至高平刘庄段改扩建工程等</w:t>
      </w:r>
      <w:r>
        <w:rPr>
          <w:rFonts w:hint="eastAsia" w:ascii="Times New Roman" w:hAnsi="Times New Roman" w:eastAsia="仿宋_GB2312" w:cs="Times New Roman"/>
          <w:bCs/>
          <w:color w:val="000000"/>
          <w:sz w:val="32"/>
          <w:szCs w:val="32"/>
          <w:u w:color="000000"/>
          <w14:ligatures w14:val="none"/>
        </w:rPr>
        <w:t>在建项目</w:t>
      </w:r>
      <w:r>
        <w:rPr>
          <w:rFonts w:hint="eastAsia" w:ascii="Times New Roman" w:hAnsi="Times New Roman" w:eastAsia="仿宋_GB2312" w:cs="Times New Roman"/>
          <w:color w:val="000000"/>
          <w:sz w:val="32"/>
          <w:szCs w:val="32"/>
          <w:u w:color="000000"/>
          <w14:ligatures w14:val="none"/>
        </w:rPr>
        <w:t>，</w:t>
      </w:r>
      <w:r>
        <w:rPr>
          <w:rFonts w:hint="eastAsia" w:ascii="Times New Roman" w:hAnsi="Times New Roman" w:eastAsia="仿宋_GB2312" w:cs="Times New Roman"/>
          <w:bCs/>
          <w:color w:val="000000"/>
          <w:sz w:val="32"/>
          <w:szCs w:val="32"/>
          <w:u w:color="000000"/>
          <w14:ligatures w14:val="none"/>
        </w:rPr>
        <w:t>加快</w:t>
      </w:r>
      <w:r>
        <w:rPr>
          <w:rFonts w:hint="eastAsia" w:ascii="Times New Roman" w:hAnsi="Times New Roman" w:eastAsia="仿宋_GB2312" w:cs="Times New Roman"/>
          <w:color w:val="000000"/>
          <w:sz w:val="32"/>
          <w:szCs w:val="32"/>
          <w:u w:color="000000"/>
          <w14:ligatures w14:val="none"/>
        </w:rPr>
        <w:t>实施国省道沁水、陵川、阳城等5个县城过境段改线工程，有序推进</w:t>
      </w:r>
      <w:r>
        <w:rPr>
          <w:rFonts w:hint="eastAsia" w:ascii="Times New Roman" w:hAnsi="Times New Roman" w:eastAsia="仿宋_GB2312" w:cs="Times New Roman"/>
          <w:color w:val="000000"/>
          <w:sz w:val="32"/>
          <w:szCs w:val="28"/>
          <w:u w:color="000000"/>
          <w14:ligatures w14:val="none"/>
        </w:rPr>
        <w:t>瓶颈路段升级改造和安全韧性提升工程。</w:t>
      </w:r>
    </w:p>
    <w:p w14:paraId="4FDAAFAE">
      <w:pPr>
        <w:widowControl/>
        <w:spacing w:after="0" w:line="600" w:lineRule="exact"/>
        <w:ind w:firstLine="643" w:firstLineChars="200"/>
        <w:outlineLvl w:val="2"/>
        <w:rPr>
          <w:rFonts w:ascii="Times New Roman" w:hAnsi="Times New Roman" w:eastAsia="仿宋_GB2312" w:cs="Times New Roman"/>
          <w:b/>
          <w:color w:val="000000"/>
          <w:sz w:val="32"/>
          <w:szCs w:val="32"/>
          <w:u w:color="000000"/>
          <w14:ligatures w14:val="none"/>
        </w:rPr>
      </w:pPr>
      <w:bookmarkStart w:id="37" w:name="_Toc219542911"/>
      <w:bookmarkStart w:id="38" w:name="_Toc221120249"/>
      <w:r>
        <w:rPr>
          <w:rFonts w:hint="eastAsia" w:ascii="Times New Roman" w:hAnsi="Times New Roman" w:eastAsia="仿宋_GB2312" w:cs="Times New Roman"/>
          <w:b/>
          <w:color w:val="000000"/>
          <w:sz w:val="32"/>
          <w:szCs w:val="32"/>
          <w:u w:color="000000"/>
          <w14:ligatures w14:val="none"/>
        </w:rPr>
        <w:t>3. 健全城区</w:t>
      </w:r>
      <w:r>
        <w:rPr>
          <w:rFonts w:hint="eastAsia" w:ascii="Times New Roman" w:hAnsi="Times New Roman" w:eastAsia="仿宋_GB2312" w:cs="Times New Roman"/>
          <w:b/>
          <w:sz w:val="32"/>
          <w:szCs w:val="32"/>
          <w:u w:color="000000"/>
          <w14:ligatures w14:val="none"/>
        </w:rPr>
        <w:t>内外</w:t>
      </w:r>
      <w:r>
        <w:rPr>
          <w:rFonts w:hint="eastAsia" w:ascii="Times New Roman" w:hAnsi="Times New Roman" w:eastAsia="仿宋_GB2312" w:cs="Times New Roman"/>
          <w:b/>
          <w:color w:val="000000"/>
          <w:sz w:val="32"/>
          <w:szCs w:val="32"/>
          <w:u w:color="000000"/>
          <w14:ligatures w14:val="none"/>
        </w:rPr>
        <w:t>衔接网</w:t>
      </w:r>
      <w:bookmarkEnd w:id="37"/>
      <w:bookmarkEnd w:id="38"/>
    </w:p>
    <w:p w14:paraId="730C2222">
      <w:pPr>
        <w:spacing w:after="0" w:line="600" w:lineRule="exact"/>
        <w:ind w:firstLine="640" w:firstLineChars="200"/>
        <w:rPr>
          <w:rFonts w:ascii="Times New Roman" w:hAnsi="Times New Roman" w:eastAsia="仿宋_GB2312" w:cs="Times New Roman"/>
          <w:color w:val="000000"/>
          <w:sz w:val="32"/>
          <w:szCs w:val="32"/>
          <w:u w:color="000000"/>
          <w14:ligatures w14:val="none"/>
        </w:rPr>
      </w:pPr>
      <w:r>
        <w:rPr>
          <w:rFonts w:hint="eastAsia" w:ascii="Times New Roman" w:hAnsi="Times New Roman" w:eastAsia="仿宋_GB2312" w:cs="Times New Roman"/>
          <w:color w:val="000000"/>
          <w:sz w:val="32"/>
          <w:szCs w:val="32"/>
          <w:u w:color="000000"/>
          <w14:ligatures w14:val="none"/>
        </w:rPr>
        <w:t>建成东南过境（北义城—大箕）高速公路，与在建晋阳高速公路（西南绕城）、既有绕城高速公路（西北绕城）形成“高速外环”。有序推进G55二广高速城区段国道化、市政化改造，与国道342、在建国道342和国道208连接线形成“国道外环”。推动国道208城区段市政化改造，与在建北环路、西环路形成“快速内环”。加快推进申匠互通立交建设，规划布局中原街等互通立交。改扩建晋城西等高速收费站，新建町店等高速出入口，满足主要乡镇就近上高速需求。</w:t>
      </w:r>
    </w:p>
    <w:p w14:paraId="65168C42">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39" w:name="_Toc219542912"/>
      <w:bookmarkStart w:id="40" w:name="_Toc221120250"/>
      <w:r>
        <w:rPr>
          <w:rFonts w:hint="eastAsia" w:ascii="Times New Roman" w:hAnsi="Times New Roman" w:eastAsia="仿宋_GB2312" w:cs="Times New Roman"/>
          <w:b/>
          <w:sz w:val="32"/>
          <w:szCs w:val="32"/>
          <w:u w:color="000000"/>
          <w14:ligatures w14:val="none"/>
        </w:rPr>
        <w:t xml:space="preserve">4. </w:t>
      </w:r>
      <w:bookmarkStart w:id="41" w:name="_Hlk209086857"/>
      <w:r>
        <w:rPr>
          <w:rFonts w:hint="eastAsia" w:ascii="Times New Roman" w:hAnsi="Times New Roman" w:eastAsia="仿宋_GB2312" w:cs="Times New Roman"/>
          <w:b/>
          <w:sz w:val="32"/>
          <w:szCs w:val="32"/>
          <w:u w:color="000000"/>
          <w14:ligatures w14:val="none"/>
        </w:rPr>
        <w:t>优化城乡一体基础网</w:t>
      </w:r>
      <w:bookmarkEnd w:id="39"/>
      <w:bookmarkEnd w:id="40"/>
      <w:bookmarkEnd w:id="41"/>
    </w:p>
    <w:p w14:paraId="45398BD5">
      <w:pPr>
        <w:spacing w:after="0" w:line="600" w:lineRule="exact"/>
        <w:ind w:firstLine="640" w:firstLineChars="200"/>
        <w:rPr>
          <w:rFonts w:cs="Times New Roman"/>
          <w:b/>
          <w:bCs/>
          <w:szCs w:val="32"/>
        </w:rPr>
      </w:pPr>
      <w:r>
        <w:rPr>
          <w:rFonts w:hint="eastAsia" w:ascii="Times New Roman" w:hAnsi="Times New Roman" w:eastAsia="仿宋_GB2312" w:cs="Times New Roman"/>
          <w:color w:val="000000"/>
          <w:sz w:val="32"/>
          <w:szCs w:val="32"/>
          <w:u w:color="000000"/>
          <w14:ligatures w14:val="none"/>
        </w:rPr>
        <w:t>加强乡镇与县城、高速公路出入口等重要节点的连接，实施阳运高速次营连接线等项目。按照三级及以上公路标准，推动太行一号—</w:t>
      </w:r>
      <w:r>
        <w:rPr>
          <w:rFonts w:ascii="Times New Roman" w:hAnsi="Times New Roman" w:eastAsia="仿宋_GB2312" w:cs="Times New Roman"/>
          <w:color w:val="000000"/>
          <w:sz w:val="32"/>
          <w:szCs w:val="32"/>
          <w:u w:color="000000"/>
          <w14:ligatures w14:val="none"/>
        </w:rPr>
        <w:t>古郊等</w:t>
      </w:r>
      <w:r>
        <w:rPr>
          <w:rFonts w:hint="eastAsia" w:ascii="Times New Roman" w:hAnsi="Times New Roman" w:eastAsia="仿宋_GB2312" w:cs="Times New Roman"/>
          <w:color w:val="000000"/>
          <w:sz w:val="32"/>
          <w:szCs w:val="32"/>
          <w:u w:color="000000"/>
          <w14:ligatures w14:val="none"/>
        </w:rPr>
        <w:t>建制村通双车道公路项目建设，对于人口较多、产业发展较好的建制村，优先安排建设项目。针对西岭—西石门（段家庄）—门河景区等差等路、过窄农村公路，按照相关技术标准进行改造，在条件受限路段合理设置错车道。实施老旧县乡道“白改黑”，完善排水、安防设施。加大资源路、旅游路、产业路建设力度，实施牛山—白马寺线道路改造等项目，优先改造通往农业基地、工业园区等的产业路。加强对农村公路危桥危隧改造力度，建立隐患台账，改造危旧隧道3处、危旧桥梁18处、新建桥涵1处，实施公路生命安全防护工程约80公里。</w:t>
      </w:r>
    </w:p>
    <w:p w14:paraId="1D4613E5">
      <w:pPr>
        <w:adjustRightInd w:val="0"/>
        <w:spacing w:after="0" w:line="600" w:lineRule="exact"/>
        <w:ind w:firstLine="643" w:firstLineChars="200"/>
        <w:outlineLvl w:val="1"/>
        <w:rPr>
          <w:rFonts w:ascii="仿宋_GB2312" w:hAnsi="仿宋_GB2312" w:eastAsia="仿宋_GB2312" w:cs="仿宋_GB2312"/>
          <w:b/>
          <w:bCs/>
          <w:sz w:val="32"/>
          <w:szCs w:val="32"/>
        </w:rPr>
      </w:pPr>
      <w:bookmarkStart w:id="42" w:name="_Toc221120251"/>
      <w:bookmarkStart w:id="43" w:name="_Toc226561973"/>
      <w:bookmarkStart w:id="44" w:name="_Toc24046"/>
      <w:bookmarkStart w:id="45" w:name="_Toc17340"/>
      <w:r>
        <w:rPr>
          <w:rFonts w:hint="eastAsia" w:ascii="仿宋_GB2312" w:hAnsi="仿宋_GB2312" w:eastAsia="仿宋_GB2312" w:cs="仿宋_GB2312"/>
          <w:b/>
          <w:bCs/>
          <w:sz w:val="32"/>
          <w:szCs w:val="32"/>
        </w:rPr>
        <w:t>（二）优化运输</w:t>
      </w:r>
      <w:r>
        <w:rPr>
          <w:rFonts w:hint="eastAsia" w:ascii="楷体_GB2312" w:hAnsi="仿宋_GB2312" w:eastAsia="楷体_GB2312" w:cs="仿宋_GB2312"/>
          <w:b/>
          <w:bCs/>
          <w:sz w:val="32"/>
          <w:szCs w:val="32"/>
        </w:rPr>
        <w:t>供给结构</w:t>
      </w:r>
      <w:bookmarkEnd w:id="42"/>
      <w:bookmarkEnd w:id="43"/>
    </w:p>
    <w:p w14:paraId="3F5D28F2">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优化客运服务供给，深化道路客运转型，积极推进旅客联程运输，推动城市交通高质量发展，深化城乡客运一体化发展。持续推进货物运输结构调整，推进交通物流降本增效，推动道路货运高质量发展，推进农村客货邮融合发展，提升专业化运输服务水平。</w:t>
      </w:r>
    </w:p>
    <w:p w14:paraId="0E476020">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46" w:name="_Toc221120252"/>
      <w:r>
        <w:rPr>
          <w:rFonts w:hint="eastAsia" w:ascii="Times New Roman" w:hAnsi="Times New Roman" w:eastAsia="仿宋_GB2312" w:cs="Times New Roman"/>
          <w:b/>
          <w:sz w:val="32"/>
          <w:szCs w:val="32"/>
          <w:u w:color="000000"/>
          <w14:ligatures w14:val="none"/>
        </w:rPr>
        <w:t>1. 推进跨区域客运融合发展</w:t>
      </w:r>
      <w:bookmarkEnd w:id="46"/>
    </w:p>
    <w:p w14:paraId="07FC3DB1">
      <w:pPr>
        <w:adjustRightInd w:val="0"/>
        <w:spacing w:after="0" w:line="600" w:lineRule="exact"/>
        <w:ind w:firstLine="640" w:firstLineChars="200"/>
        <w:rPr>
          <w:rFonts w:cs="Times New Roman"/>
          <w:szCs w:val="32"/>
        </w:rPr>
      </w:pPr>
      <w:r>
        <w:rPr>
          <w:rFonts w:hint="eastAsia" w:ascii="仿宋_GB2312" w:hAnsi="仿宋_GB2312" w:eastAsia="仿宋_GB2312" w:cs="仿宋_GB2312"/>
          <w:bCs/>
          <w:sz w:val="32"/>
          <w:szCs w:val="32"/>
        </w:rPr>
        <w:t>深化城际客运供给侧结构性改革，推广晋城至郑州城际道路客运公交化运行模式至洛阳、运城等周边城市。大力发展道路客运定制服务，推进定制客运进机场、进火车站、进景区等，打造一批定制精品线路。谋划布局航线网络，加快建设晋城民用机场空港综合客运枢纽，积极推进旅客联程运输。</w:t>
      </w:r>
    </w:p>
    <w:p w14:paraId="36641233">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47" w:name="_Toc221120253"/>
      <w:r>
        <w:rPr>
          <w:rFonts w:hint="eastAsia" w:ascii="Times New Roman" w:hAnsi="Times New Roman" w:eastAsia="仿宋_GB2312" w:cs="Times New Roman"/>
          <w:b/>
          <w:sz w:val="32"/>
          <w:szCs w:val="32"/>
          <w:u w:color="000000"/>
          <w14:ligatures w14:val="none"/>
        </w:rPr>
        <w:t>2. 推动城市交通高质量发展</w:t>
      </w:r>
      <w:bookmarkEnd w:id="47"/>
    </w:p>
    <w:p w14:paraId="5C835F7E">
      <w:pPr>
        <w:adjustRightInd w:val="0"/>
        <w:spacing w:after="0" w:line="600" w:lineRule="exact"/>
        <w:ind w:firstLine="640" w:firstLineChars="200"/>
        <w:rPr>
          <w:rFonts w:ascii="Times New Roman" w:hAnsi="Times New Roman" w:eastAsia="仿宋_GB2312" w:cs="仿宋_GB2312"/>
          <w:bCs/>
          <w:sz w:val="32"/>
          <w:szCs w:val="32"/>
        </w:rPr>
      </w:pPr>
      <w:r>
        <w:rPr>
          <w:rFonts w:hint="eastAsia" w:ascii="仿宋_GB2312" w:hAnsi="仿宋_GB2312" w:eastAsia="仿宋_GB2312" w:cs="仿宋_GB2312"/>
          <w:bCs/>
          <w:sz w:val="32"/>
          <w:szCs w:val="32"/>
        </w:rPr>
        <w:t>实施城市公交提升优化工程，开展城市交通高质量发展示范区创建。推动出租车新老业态融合，支持巡游出租汽车经营者与主要网约车平台公司深度合作。加大</w:t>
      </w:r>
      <w:r>
        <w:rPr>
          <w:rFonts w:hint="eastAsia" w:ascii="Times New Roman" w:hAnsi="Times New Roman" w:eastAsia="仿宋_GB2312" w:cs="Times New Roman"/>
          <w:bCs/>
          <w:sz w:val="32"/>
          <w:szCs w:val="32"/>
        </w:rPr>
        <w:t>95128</w:t>
      </w:r>
      <w:r>
        <w:rPr>
          <w:rFonts w:hint="eastAsia" w:ascii="仿宋_GB2312" w:hAnsi="仿宋_GB2312" w:eastAsia="仿宋_GB2312" w:cs="仿宋_GB2312"/>
          <w:bCs/>
          <w:sz w:val="32"/>
          <w:szCs w:val="32"/>
        </w:rPr>
        <w:t>电话推广应用，提升适老化无障碍出行水平。</w:t>
      </w:r>
    </w:p>
    <w:p w14:paraId="2D7E6DDE">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48" w:name="_Toc221120254"/>
      <w:r>
        <w:rPr>
          <w:rFonts w:hint="eastAsia" w:ascii="Times New Roman" w:hAnsi="Times New Roman" w:eastAsia="仿宋_GB2312" w:cs="Times New Roman"/>
          <w:b/>
          <w:sz w:val="32"/>
          <w:szCs w:val="32"/>
          <w:u w:color="000000"/>
          <w14:ligatures w14:val="none"/>
        </w:rPr>
        <w:t>3. 深化城乡客运一体化发展</w:t>
      </w:r>
      <w:bookmarkEnd w:id="48"/>
    </w:p>
    <w:p w14:paraId="62C8CB1F">
      <w:pPr>
        <w:pStyle w:val="67"/>
        <w:spacing w:line="600" w:lineRule="exact"/>
        <w:ind w:firstLine="640"/>
        <w:rPr>
          <w:rFonts w:cs="Times New Roman"/>
          <w:szCs w:val="32"/>
        </w:rPr>
      </w:pPr>
      <w:r>
        <w:rPr>
          <w:rFonts w:hint="eastAsia" w:ascii="仿宋_GB2312" w:hAnsi="仿宋_GB2312" w:cs="仿宋_GB2312"/>
          <w:bCs/>
          <w:szCs w:val="32"/>
        </w:rPr>
        <w:t>优化城乡、镇村公交线网布局，持续保持建制村公交化运营全覆盖。引导城乡、镇村公交采取区域经营、冷热线搭配、设置临时发车点等灵活方式运营，推广预约响应式农村客运服务。积极组织开展全国“四好农村路”和城乡交通运输一体化示范县创建。</w:t>
      </w:r>
    </w:p>
    <w:p w14:paraId="7F9E0308">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49" w:name="_Toc221120255"/>
      <w:r>
        <w:rPr>
          <w:rFonts w:hint="eastAsia" w:ascii="Times New Roman" w:hAnsi="Times New Roman" w:eastAsia="仿宋_GB2312" w:cs="Times New Roman"/>
          <w:b/>
          <w:sz w:val="32"/>
          <w:szCs w:val="32"/>
          <w:u w:color="000000"/>
          <w14:ligatures w14:val="none"/>
        </w:rPr>
        <w:t>4. 推进货运物流集约高效发展</w:t>
      </w:r>
      <w:bookmarkEnd w:id="49"/>
    </w:p>
    <w:p w14:paraId="51AE9595">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持续推进运输结构调整，</w:t>
      </w:r>
      <w:r>
        <w:rPr>
          <w:rFonts w:hint="eastAsia" w:ascii="Times New Roman" w:hAnsi="Times New Roman" w:eastAsia="仿宋_GB2312" w:cs="仿宋_GB2312"/>
          <w:bCs/>
          <w:sz w:val="32"/>
          <w:szCs w:val="32"/>
        </w:rPr>
        <w:t>严格落实“年运输量150万吨以上煤矿原则上接入铁路专用线”要求，</w:t>
      </w:r>
      <w:r>
        <w:rPr>
          <w:rFonts w:hint="eastAsia" w:ascii="仿宋_GB2312" w:hAnsi="仿宋_GB2312" w:eastAsia="仿宋_GB2312" w:cs="仿宋_GB2312"/>
          <w:bCs/>
          <w:sz w:val="32"/>
          <w:szCs w:val="32"/>
        </w:rPr>
        <w:t>推动煤炭运输“公转铁”“散改集”。依托晋城市铁路集装箱物流基地项目，开展多式联运试点示范。完善物流节点布局，推进晋城空港物流园区起步区、二广高速晋东南物流园（二期）项目建设。深化农村客货邮融合发展，积极打造客货邮融合示范线路。优化物流业发展环境，鼓励、引导和培育公路货物运输企业规模化发展，到</w:t>
      </w:r>
      <w:r>
        <w:rPr>
          <w:rFonts w:hint="eastAsia" w:ascii="Times New Roman" w:hAnsi="Times New Roman" w:eastAsia="仿宋_GB2312" w:cs="Times New Roman"/>
          <w:bCs/>
          <w:sz w:val="32"/>
          <w:szCs w:val="32"/>
        </w:rPr>
        <w:t>2030</w:t>
      </w:r>
      <w:r>
        <w:rPr>
          <w:rFonts w:hint="eastAsia" w:ascii="仿宋_GB2312" w:hAnsi="仿宋_GB2312" w:eastAsia="仿宋_GB2312" w:cs="仿宋_GB2312"/>
          <w:bCs/>
          <w:sz w:val="32"/>
          <w:szCs w:val="32"/>
        </w:rPr>
        <w:t>年规上企业超过</w:t>
      </w:r>
      <w:r>
        <w:rPr>
          <w:rFonts w:hint="eastAsia" w:ascii="Times New Roman" w:hAnsi="Times New Roman" w:eastAsia="仿宋_GB2312" w:cs="Times New Roman"/>
          <w:bCs/>
          <w:sz w:val="32"/>
          <w:szCs w:val="32"/>
        </w:rPr>
        <w:t>50</w:t>
      </w:r>
      <w:r>
        <w:rPr>
          <w:rFonts w:hint="eastAsia" w:ascii="仿宋_GB2312" w:hAnsi="仿宋_GB2312" w:eastAsia="仿宋_GB2312" w:cs="仿宋_GB2312"/>
          <w:bCs/>
          <w:sz w:val="32"/>
          <w:szCs w:val="32"/>
        </w:rPr>
        <w:t>家。</w:t>
      </w:r>
    </w:p>
    <w:p w14:paraId="288D0ECD">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50" w:name="_Toc221120256"/>
      <w:r>
        <w:rPr>
          <w:rFonts w:hint="eastAsia" w:ascii="Times New Roman" w:hAnsi="Times New Roman" w:eastAsia="仿宋_GB2312" w:cs="Times New Roman"/>
          <w:b/>
          <w:sz w:val="32"/>
          <w:szCs w:val="32"/>
          <w:u w:color="000000"/>
          <w14:ligatures w14:val="none"/>
        </w:rPr>
        <w:t>5. 促进物流业态模式创新发展</w:t>
      </w:r>
      <w:bookmarkEnd w:id="50"/>
    </w:p>
    <w:p w14:paraId="65B60018">
      <w:pPr>
        <w:pStyle w:val="67"/>
        <w:spacing w:line="600" w:lineRule="exact"/>
        <w:ind w:firstLine="640"/>
        <w:rPr>
          <w:rFonts w:cs="Times New Roman"/>
          <w:szCs w:val="32"/>
        </w:rPr>
      </w:pPr>
      <w:r>
        <w:rPr>
          <w:rFonts w:hint="eastAsia" w:ascii="仿宋_GB2312" w:hAnsi="仿宋_GB2312" w:cs="仿宋_GB2312"/>
          <w:bCs/>
          <w:szCs w:val="32"/>
        </w:rPr>
        <w:t>依托晋城民用机场，做大空港物流，引进头部物流企业设立区域转运中心。提升交通物流专业化水平，做优煤炭、石化等专业物流，推广“公转铁+散改集+皮带管廊+新能源重卡”绿色运输模式。</w:t>
      </w:r>
    </w:p>
    <w:p w14:paraId="1265FBA3">
      <w:pPr>
        <w:adjustRightInd w:val="0"/>
        <w:spacing w:after="0" w:line="600" w:lineRule="exact"/>
        <w:ind w:firstLine="643" w:firstLineChars="200"/>
        <w:outlineLvl w:val="1"/>
        <w:rPr>
          <w:rFonts w:ascii="楷体_GB2312" w:hAnsi="仿宋_GB2312" w:eastAsia="楷体_GB2312" w:cs="仿宋_GB2312"/>
          <w:b/>
          <w:bCs/>
          <w:sz w:val="32"/>
          <w:szCs w:val="32"/>
        </w:rPr>
      </w:pPr>
      <w:bookmarkStart w:id="51" w:name="_Toc221120257"/>
      <w:bookmarkStart w:id="52" w:name="_Toc226561974"/>
      <w:r>
        <w:rPr>
          <w:rFonts w:hint="eastAsia" w:ascii="楷体_GB2312" w:hAnsi="仿宋_GB2312" w:eastAsia="楷体_GB2312" w:cs="仿宋_GB2312"/>
          <w:b/>
          <w:bCs/>
          <w:sz w:val="32"/>
          <w:szCs w:val="32"/>
        </w:rPr>
        <w:t>（三）发展交通新质生产力</w:t>
      </w:r>
      <w:bookmarkEnd w:id="51"/>
      <w:bookmarkEnd w:id="52"/>
    </w:p>
    <w:p w14:paraId="6342ADC0">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人工智能创新应用，推进交通基础设施数字化改造，推动运输服务数智化升级，大力发展新产业、新业态、新场景，促进无人车寄递服务发展，安全有序发展低空交通，促进交通运输提效能、扩功能、增动能。</w:t>
      </w:r>
    </w:p>
    <w:p w14:paraId="18F8FE95">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53" w:name="_Toc221120258"/>
      <w:r>
        <w:rPr>
          <w:rFonts w:hint="eastAsia" w:ascii="Times New Roman" w:hAnsi="Times New Roman" w:eastAsia="仿宋_GB2312" w:cs="Times New Roman"/>
          <w:b/>
          <w:sz w:val="32"/>
          <w:szCs w:val="32"/>
          <w:u w:color="000000"/>
          <w14:ligatures w14:val="none"/>
        </w:rPr>
        <w:t>1. 实施“人工智能+交通运输”行动</w:t>
      </w:r>
      <w:bookmarkEnd w:id="53"/>
    </w:p>
    <w:p w14:paraId="3A08D2E6">
      <w:pPr>
        <w:widowControl/>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人工智能赋能路网运行监测，升级晋城市路网运行监测平台，数据接入省级综合交通数据资源库。部署无人机、无人检测车及物联网传感器等设施设备，开展路况信息自动化采集与智能养护决策。加强人工智能技术在交通政务服务中的应用，依托</w:t>
      </w:r>
      <w:r>
        <w:rPr>
          <w:rFonts w:hint="eastAsia" w:ascii="Times New Roman" w:hAnsi="Times New Roman" w:eastAsia="仿宋_GB2312" w:cs="Times New Roman"/>
          <w:sz w:val="32"/>
          <w:szCs w:val="32"/>
        </w:rPr>
        <w:t>AI</w:t>
      </w:r>
      <w:r>
        <w:rPr>
          <w:rFonts w:hint="eastAsia" w:ascii="仿宋_GB2312" w:hAnsi="仿宋_GB2312" w:eastAsia="仿宋_GB2312" w:cs="仿宋_GB2312"/>
          <w:sz w:val="32"/>
          <w:szCs w:val="32"/>
        </w:rPr>
        <w:t>模型对全市</w:t>
      </w:r>
      <w:r>
        <w:rPr>
          <w:rFonts w:hint="eastAsia" w:ascii="Times New Roman" w:hAnsi="Times New Roman" w:eastAsia="仿宋_GB2312" w:cs="Times New Roman"/>
          <w:sz w:val="32"/>
          <w:szCs w:val="32"/>
        </w:rPr>
        <w:t>12328</w:t>
      </w:r>
      <w:r>
        <w:rPr>
          <w:rFonts w:hint="eastAsia" w:ascii="仿宋_GB2312" w:hAnsi="仿宋_GB2312" w:eastAsia="仿宋_GB2312" w:cs="仿宋_GB2312"/>
          <w:sz w:val="32"/>
          <w:szCs w:val="32"/>
        </w:rPr>
        <w:t>热线诉求工单、回访及数据进行智能校验。强化交通运输领域人工智能数据要素供给。</w:t>
      </w:r>
    </w:p>
    <w:p w14:paraId="1024BE7B">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54" w:name="_Toc221120259"/>
      <w:r>
        <w:rPr>
          <w:rFonts w:hint="eastAsia" w:ascii="Times New Roman" w:hAnsi="Times New Roman" w:eastAsia="仿宋_GB2312" w:cs="Times New Roman"/>
          <w:b/>
          <w:sz w:val="32"/>
          <w:szCs w:val="32"/>
          <w:u w:color="000000"/>
          <w14:ligatures w14:val="none"/>
        </w:rPr>
        <w:t>2. 推动基础设施数字化</w:t>
      </w:r>
      <w:bookmarkEnd w:id="54"/>
      <w:r>
        <w:rPr>
          <w:rFonts w:hint="eastAsia" w:ascii="Times New Roman" w:hAnsi="Times New Roman" w:eastAsia="仿宋_GB2312" w:cs="Times New Roman"/>
          <w:b/>
          <w:sz w:val="32"/>
          <w:szCs w:val="32"/>
          <w:u w:color="000000"/>
          <w14:ligatures w14:val="none"/>
        </w:rPr>
        <w:t>升级</w:t>
      </w:r>
    </w:p>
    <w:p w14:paraId="2F85F522">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推进普通公路多功能交调站建设，新建</w:t>
      </w:r>
      <w:r>
        <w:rPr>
          <w:rFonts w:hint="eastAsia" w:ascii="Times New Roman" w:hAnsi="Times New Roman" w:eastAsia="仿宋_GB2312" w:cs="Times New Roman"/>
          <w:bCs/>
          <w:sz w:val="32"/>
          <w:szCs w:val="32"/>
        </w:rPr>
        <w:t>12</w:t>
      </w:r>
      <w:r>
        <w:rPr>
          <w:rFonts w:hint="eastAsia" w:ascii="仿宋_GB2312" w:hAnsi="仿宋_GB2312" w:eastAsia="仿宋_GB2312" w:cs="仿宋_GB2312"/>
          <w:bCs/>
          <w:sz w:val="32"/>
          <w:szCs w:val="32"/>
        </w:rPr>
        <w:t>个多功能交调站，实现普通国省道重点路段全覆盖，视情新建</w:t>
      </w:r>
      <w:r>
        <w:rPr>
          <w:rFonts w:hint="eastAsia" w:ascii="Times New Roman" w:hAnsi="Times New Roman" w:eastAsia="仿宋_GB2312" w:cs="Times New Roman"/>
          <w:bCs/>
          <w:sz w:val="32"/>
          <w:szCs w:val="32"/>
        </w:rPr>
        <w:t>10-32</w:t>
      </w:r>
      <w:r>
        <w:rPr>
          <w:rFonts w:hint="eastAsia" w:ascii="仿宋_GB2312" w:hAnsi="仿宋_GB2312" w:eastAsia="仿宋_GB2312" w:cs="仿宋_GB2312"/>
          <w:bCs/>
          <w:sz w:val="32"/>
          <w:szCs w:val="32"/>
        </w:rPr>
        <w:t>个自动化交调站。布局重点公路数字化基础设施，在二广高速（长晋段）、太行一号旅游公路等路段部署智能监测设备，推广沁水县农村公路路网监测平台经验做法，鼓励各县加大农村公路数字化建设，实现全市农村公路技术状况评定全覆盖。统筹推进“智慧站点”建设，在晋城东、晋城南等高速收费站部署智能收费机器人，在太行一号旅游公路驿站部署智慧服务终端。</w:t>
      </w:r>
    </w:p>
    <w:p w14:paraId="290A704F">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55" w:name="_Toc221120260"/>
      <w:r>
        <w:rPr>
          <w:rFonts w:hint="eastAsia" w:ascii="Times New Roman" w:hAnsi="Times New Roman" w:eastAsia="仿宋_GB2312" w:cs="Times New Roman"/>
          <w:b/>
          <w:sz w:val="32"/>
          <w:szCs w:val="32"/>
          <w:u w:color="000000"/>
          <w14:ligatures w14:val="none"/>
        </w:rPr>
        <w:t>3. 优化综合交通信息化平台</w:t>
      </w:r>
      <w:bookmarkEnd w:id="55"/>
    </w:p>
    <w:p w14:paraId="6418708A">
      <w:pPr>
        <w:adjustRightInd w:val="0"/>
        <w:spacing w:after="0"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建成市级交通运输信息监管平台，重点推进交通运行指挥中心“</w:t>
      </w:r>
      <w:r>
        <w:rPr>
          <w:rFonts w:ascii="Times New Roman" w:hAnsi="Times New Roman" w:eastAsia="仿宋_GB2312" w:cs="Times New Roman"/>
          <w:bCs/>
          <w:sz w:val="32"/>
          <w:szCs w:val="32"/>
        </w:rPr>
        <w:t>1个中心、4个平台</w:t>
      </w:r>
      <w:r>
        <w:rPr>
          <w:rFonts w:ascii="仿宋_GB2312" w:hAnsi="仿宋_GB2312" w:eastAsia="仿宋_GB2312" w:cs="仿宋_GB2312"/>
          <w:bCs/>
          <w:sz w:val="32"/>
          <w:szCs w:val="32"/>
        </w:rPr>
        <w:t>”软件系统的调试与优化，加快提升指挥调度“一网统管”能力。</w:t>
      </w:r>
      <w:r>
        <w:rPr>
          <w:rFonts w:hint="eastAsia" w:ascii="仿宋_GB2312" w:hAnsi="仿宋_GB2312" w:eastAsia="仿宋_GB2312" w:cs="仿宋_GB2312"/>
          <w:bCs/>
          <w:sz w:val="32"/>
          <w:szCs w:val="32"/>
        </w:rPr>
        <w:t>搭建公交大数据决策分析平台，拓展公交运营智慧化应用，实现资源可视化分析、线网优化与决策支持。督促网络平台企业优化运费定价机制，避免“恶意压价”等不良竞争。运用大数据与物联网技术对货物运输全程进行动态监控，保障运输安全与服务质量。</w:t>
      </w:r>
    </w:p>
    <w:p w14:paraId="77565561">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56" w:name="_Toc221120261"/>
      <w:r>
        <w:rPr>
          <w:rFonts w:hint="eastAsia" w:ascii="Times New Roman" w:hAnsi="Times New Roman" w:eastAsia="仿宋_GB2312" w:cs="Times New Roman"/>
          <w:b/>
          <w:sz w:val="32"/>
          <w:szCs w:val="32"/>
          <w:u w:color="000000"/>
          <w14:ligatures w14:val="none"/>
        </w:rPr>
        <w:t>4. 推进低空交通新业态发展</w:t>
      </w:r>
      <w:bookmarkEnd w:id="56"/>
    </w:p>
    <w:p w14:paraId="729E5D89">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跟踪国家、省低空空域管理政策，以省级空域管理系统为基础，探索建立市级空域管理机制。推动低空交通基础设施建设，建成高平通用机场并通航，谋划建设泽州飞行营地，在城区西北片区规划建设低空经济园区。积极推广无人机巡检应用，拓展低空交通在应急救援领域应用，打造低空观光主题航线集群，探索偏远乡村物资末端配送。</w:t>
      </w:r>
    </w:p>
    <w:p w14:paraId="42C56B35">
      <w:pPr>
        <w:adjustRightInd w:val="0"/>
        <w:spacing w:after="0" w:line="600" w:lineRule="exact"/>
        <w:ind w:firstLine="643" w:firstLineChars="200"/>
        <w:outlineLvl w:val="1"/>
        <w:rPr>
          <w:rFonts w:ascii="楷体_GB2312" w:hAnsi="仿宋_GB2312" w:eastAsia="楷体_GB2312" w:cs="仿宋_GB2312"/>
          <w:b/>
          <w:bCs/>
          <w:sz w:val="32"/>
          <w:szCs w:val="32"/>
        </w:rPr>
      </w:pPr>
      <w:bookmarkStart w:id="57" w:name="_Toc226561975"/>
      <w:bookmarkStart w:id="58" w:name="_Toc221120262"/>
      <w:r>
        <w:rPr>
          <w:rFonts w:hint="eastAsia" w:ascii="楷体_GB2312" w:hAnsi="仿宋_GB2312" w:eastAsia="楷体_GB2312" w:cs="仿宋_GB2312"/>
          <w:b/>
          <w:bCs/>
          <w:sz w:val="32"/>
          <w:szCs w:val="32"/>
        </w:rPr>
        <w:t>（四）推动绿色低碳转型</w:t>
      </w:r>
      <w:bookmarkEnd w:id="57"/>
      <w:bookmarkEnd w:id="58"/>
    </w:p>
    <w:p w14:paraId="035008D5">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贯彻落实“双碳”战略，坚持绿色发展理念，加快交通运输与能源融合发展，鼓励引导绿色出行，强化生态保护和资源节约集约利用，助力美丽晋城建设。</w:t>
      </w:r>
    </w:p>
    <w:p w14:paraId="1AF1486A">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59" w:name="_Toc221120263"/>
      <w:r>
        <w:rPr>
          <w:rFonts w:hint="eastAsia" w:ascii="Times New Roman" w:hAnsi="Times New Roman" w:eastAsia="仿宋_GB2312" w:cs="Times New Roman"/>
          <w:b/>
          <w:sz w:val="32"/>
          <w:szCs w:val="32"/>
          <w:u w:color="000000"/>
          <w14:ligatures w14:val="none"/>
        </w:rPr>
        <w:t>1. 推进交通能源融合发展</w:t>
      </w:r>
      <w:bookmarkEnd w:id="59"/>
    </w:p>
    <w:p w14:paraId="7394A68E">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加强与宁德时代等企业战略合作，合理布局公路沿线充（换）电站，至“十五五”期末，在全市范围内建成</w:t>
      </w:r>
      <w:r>
        <w:rPr>
          <w:rFonts w:hint="eastAsia" w:ascii="Times New Roman" w:hAnsi="Times New Roman" w:eastAsia="仿宋_GB2312" w:cs="Times New Roman"/>
          <w:bCs/>
          <w:sz w:val="32"/>
          <w:szCs w:val="32"/>
        </w:rPr>
        <w:t>1.8</w:t>
      </w:r>
      <w:r>
        <w:rPr>
          <w:rFonts w:hint="eastAsia" w:ascii="仿宋_GB2312" w:hAnsi="仿宋_GB2312" w:eastAsia="仿宋_GB2312" w:cs="仿宋_GB2312"/>
          <w:bCs/>
          <w:sz w:val="32"/>
          <w:szCs w:val="32"/>
        </w:rPr>
        <w:t>万个公共和专用充电桩。有序推进铁路站房、高速公路服务区及收费站、公路客运站、货运物流场站、公交场站等交通基础设施清洁能源开发利用。更新提升新能源交通装备，城市公交车、巡游出租车、城市配送货车新能源比例达到</w:t>
      </w:r>
      <w:r>
        <w:rPr>
          <w:rFonts w:hint="eastAsia" w:ascii="Times New Roman" w:hAnsi="Times New Roman" w:eastAsia="仿宋_GB2312" w:cs="Times New Roman"/>
          <w:bCs/>
          <w:sz w:val="32"/>
          <w:szCs w:val="32"/>
        </w:rPr>
        <w:t>100%</w:t>
      </w:r>
      <w:r>
        <w:rPr>
          <w:rFonts w:hint="eastAsia" w:ascii="仿宋_GB2312" w:hAnsi="仿宋_GB2312" w:eastAsia="仿宋_GB2312" w:cs="仿宋_GB2312"/>
          <w:bCs/>
          <w:sz w:val="32"/>
          <w:szCs w:val="32"/>
        </w:rPr>
        <w:t>，加快淘汰国四排放标准货车，持续推动载货汽车新能源化，推广应用底盘式换电新能源重卡，完善充电加氢网络，鼓励公路货物运输企业、用车大户建设零排放货运车队。</w:t>
      </w:r>
    </w:p>
    <w:p w14:paraId="277DEDDA">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60" w:name="_Toc221120264"/>
      <w:r>
        <w:rPr>
          <w:rFonts w:hint="eastAsia" w:ascii="Times New Roman" w:hAnsi="Times New Roman" w:eastAsia="仿宋_GB2312" w:cs="Times New Roman"/>
          <w:b/>
          <w:sz w:val="32"/>
          <w:szCs w:val="32"/>
          <w:u w:color="000000"/>
          <w14:ligatures w14:val="none"/>
        </w:rPr>
        <w:t>2. 鼓励引导公众绿色出行</w:t>
      </w:r>
      <w:bookmarkEnd w:id="60"/>
    </w:p>
    <w:p w14:paraId="6D34DDB4">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提升城市绿色出行品质，通过线网优化、服务升级等多项措施，引导公众优先选择公共交通、步行和自行车等绿色出行方式。完善城市步行和城乡慢行服务设施，规范互联网租赁自行车发展。加强绿色出行宣传。</w:t>
      </w:r>
    </w:p>
    <w:p w14:paraId="289EACFD">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61" w:name="_Toc221120265"/>
      <w:r>
        <w:rPr>
          <w:rFonts w:hint="eastAsia" w:ascii="Times New Roman" w:hAnsi="Times New Roman" w:eastAsia="仿宋_GB2312" w:cs="Times New Roman"/>
          <w:b/>
          <w:sz w:val="32"/>
          <w:szCs w:val="32"/>
          <w:u w:color="000000"/>
          <w14:ligatures w14:val="none"/>
        </w:rPr>
        <w:t>3. 强化资源节约集约利用</w:t>
      </w:r>
      <w:bookmarkEnd w:id="61"/>
    </w:p>
    <w:p w14:paraId="4ADFB481">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生态环境保护，开展公路绿色低碳发展试点，建设绿色交通基础设施。促进资源节约集约利用，推广应用节能型绿色建筑材料，以煤矸石等固废材料资源化利用为试点示范，推进煤矸石、冶炼渣等大宗固废在公路工程中的应用。</w:t>
      </w:r>
    </w:p>
    <w:p w14:paraId="64C3A0F9">
      <w:pPr>
        <w:adjustRightInd w:val="0"/>
        <w:spacing w:after="0" w:line="600" w:lineRule="exact"/>
        <w:ind w:firstLine="643" w:firstLineChars="200"/>
        <w:outlineLvl w:val="1"/>
        <w:rPr>
          <w:rFonts w:ascii="楷体_GB2312" w:hAnsi="仿宋_GB2312" w:eastAsia="楷体_GB2312" w:cs="仿宋_GB2312"/>
          <w:b/>
          <w:bCs/>
          <w:sz w:val="32"/>
          <w:szCs w:val="32"/>
        </w:rPr>
      </w:pPr>
      <w:bookmarkStart w:id="62" w:name="_Toc226561976"/>
      <w:bookmarkStart w:id="63" w:name="_Toc221120266"/>
      <w:r>
        <w:rPr>
          <w:rFonts w:hint="eastAsia" w:ascii="楷体_GB2312" w:hAnsi="仿宋_GB2312" w:eastAsia="楷体_GB2312" w:cs="仿宋_GB2312"/>
          <w:b/>
          <w:bCs/>
          <w:sz w:val="32"/>
          <w:szCs w:val="32"/>
        </w:rPr>
        <w:t>（五）提升安全韧性水平</w:t>
      </w:r>
      <w:bookmarkEnd w:id="62"/>
      <w:bookmarkEnd w:id="63"/>
    </w:p>
    <w:p w14:paraId="493B94C5">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统筹高质量发展和高水平安全，提升基础设施本质安全水平，健全安全综合监管机制，提升应急抢通救援能力，加强从业人员培训考核，筑牢交通运输安全发展根基。</w:t>
      </w:r>
    </w:p>
    <w:p w14:paraId="1C51221E">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64" w:name="_Toc221120267"/>
      <w:r>
        <w:rPr>
          <w:rFonts w:hint="eastAsia" w:ascii="Times New Roman" w:hAnsi="Times New Roman" w:eastAsia="仿宋_GB2312" w:cs="Times New Roman"/>
          <w:b/>
          <w:sz w:val="32"/>
          <w:szCs w:val="32"/>
          <w:u w:color="000000"/>
          <w14:ligatures w14:val="none"/>
        </w:rPr>
        <w:t>1. 提升设施本质安全水平</w:t>
      </w:r>
      <w:bookmarkEnd w:id="64"/>
    </w:p>
    <w:p w14:paraId="56782B06">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分级提升路网本质安全，针对高速公路拥堵易发路段，加装车流监测与预警设备，加快国道</w:t>
      </w:r>
      <w:r>
        <w:rPr>
          <w:rFonts w:hint="eastAsia" w:ascii="Times New Roman" w:hAnsi="Times New Roman" w:eastAsia="仿宋_GB2312" w:cs="Times New Roman"/>
          <w:bCs/>
          <w:sz w:val="32"/>
          <w:szCs w:val="32"/>
        </w:rPr>
        <w:t>342</w:t>
      </w:r>
      <w:r>
        <w:rPr>
          <w:rFonts w:hint="eastAsia" w:ascii="仿宋_GB2312" w:hAnsi="仿宋_GB2312" w:eastAsia="仿宋_GB2312" w:cs="仿宋_GB2312"/>
          <w:bCs/>
          <w:sz w:val="32"/>
          <w:szCs w:val="32"/>
        </w:rPr>
        <w:t>陵川段危旧隧道改造，实施农村公路生命安全防护工程。深入推进农村公路安全设施精细化提升行动，开展道路交通安全专项整治。健全县、乡、村道三级养护体系，推进基础设施智慧管养，提升农村公路养护水平。</w:t>
      </w:r>
    </w:p>
    <w:p w14:paraId="5582C750">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65" w:name="_Toc221120268"/>
      <w:r>
        <w:rPr>
          <w:rFonts w:hint="eastAsia" w:ascii="Times New Roman" w:hAnsi="Times New Roman" w:eastAsia="仿宋_GB2312" w:cs="Times New Roman"/>
          <w:b/>
          <w:sz w:val="32"/>
          <w:szCs w:val="32"/>
          <w:u w:color="000000"/>
          <w14:ligatures w14:val="none"/>
        </w:rPr>
        <w:t>2. 健全安全综合监管机制</w:t>
      </w:r>
      <w:bookmarkEnd w:id="65"/>
    </w:p>
    <w:p w14:paraId="3C21632B">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加强风险监测主动预警，强化“两客一危”重点营运车辆动态监控。深入推进超限超载运输治理，做好换马桥公路超限检测站、新建国道</w:t>
      </w:r>
      <w:r>
        <w:rPr>
          <w:rFonts w:hint="eastAsia" w:ascii="Times New Roman" w:hAnsi="Times New Roman" w:eastAsia="仿宋_GB2312" w:cs="Times New Roman"/>
          <w:bCs/>
          <w:sz w:val="32"/>
          <w:szCs w:val="32"/>
        </w:rPr>
        <w:t>342</w:t>
      </w:r>
      <w:r>
        <w:rPr>
          <w:rFonts w:hint="eastAsia" w:ascii="仿宋_GB2312" w:hAnsi="仿宋_GB2312" w:eastAsia="仿宋_GB2312" w:cs="仿宋_GB2312"/>
          <w:bCs/>
          <w:sz w:val="32"/>
          <w:szCs w:val="32"/>
        </w:rPr>
        <w:t>一级公路超限检测站、省道</w:t>
      </w:r>
      <w:r>
        <w:rPr>
          <w:rFonts w:hint="eastAsia" w:ascii="Times New Roman" w:hAnsi="Times New Roman" w:eastAsia="仿宋_GB2312" w:cs="Times New Roman"/>
          <w:bCs/>
          <w:sz w:val="32"/>
          <w:szCs w:val="32"/>
        </w:rPr>
        <w:t>366</w:t>
      </w:r>
      <w:r>
        <w:rPr>
          <w:rFonts w:hint="eastAsia" w:ascii="仿宋_GB2312" w:hAnsi="仿宋_GB2312" w:eastAsia="仿宋_GB2312" w:cs="仿宋_GB2312"/>
          <w:bCs/>
          <w:sz w:val="32"/>
          <w:szCs w:val="32"/>
        </w:rPr>
        <w:t>沁水段端氏超限检测站、东南过境高速治超站点等国省干线公路治超站点新改建工作，巩固做好源头治超、科技治超工作。夯实安全生产责任，持续深化安全生产风险分级管理和隐患排查双重预防机制建设。</w:t>
      </w:r>
    </w:p>
    <w:p w14:paraId="4C2B2174">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66" w:name="_Toc221120269"/>
      <w:r>
        <w:rPr>
          <w:rFonts w:hint="eastAsia" w:ascii="Times New Roman" w:hAnsi="Times New Roman" w:eastAsia="仿宋_GB2312" w:cs="Times New Roman"/>
          <w:b/>
          <w:sz w:val="32"/>
          <w:szCs w:val="32"/>
          <w:u w:color="000000"/>
          <w14:ligatures w14:val="none"/>
        </w:rPr>
        <w:t>3. 提升应急抢通救援能力</w:t>
      </w:r>
      <w:bookmarkEnd w:id="66"/>
    </w:p>
    <w:p w14:paraId="58C7C3FE">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完善应急物资设施布局，建设晋城市公路交通应急装备物资储备中心以及陵川、阳城等重点区域应急物资分拨点。健全多部门应急协同机制，统筹提升公路交通保通保畅指挥调度、物资储备、运输投送、维护抢修四大体系联动水平。整合应急救援力量，建立“专业队伍为主、社会力量为辅”的应急救援体系。</w:t>
      </w:r>
    </w:p>
    <w:p w14:paraId="55EFE189">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67" w:name="_Toc221120270"/>
      <w:r>
        <w:rPr>
          <w:rFonts w:hint="eastAsia" w:ascii="Times New Roman" w:hAnsi="Times New Roman" w:eastAsia="仿宋_GB2312" w:cs="Times New Roman"/>
          <w:b/>
          <w:sz w:val="32"/>
          <w:szCs w:val="32"/>
          <w:u w:color="000000"/>
          <w14:ligatures w14:val="none"/>
        </w:rPr>
        <w:t>4. 强化从业人员培训考核</w:t>
      </w:r>
      <w:bookmarkEnd w:id="67"/>
    </w:p>
    <w:p w14:paraId="208A0393">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针对城市客运、“两客一危”、出租车、网约车、公交等重点领域，严把从业人员安全准入关。将交通运输重大事故隐患排查判定标准、山区道路安全驾驶技巧等内容纳入安全培训考核，健全培训效果督导机制。深化常态化安全培训演练。</w:t>
      </w:r>
    </w:p>
    <w:p w14:paraId="7339AD49">
      <w:pPr>
        <w:adjustRightInd w:val="0"/>
        <w:spacing w:after="0" w:line="600" w:lineRule="exact"/>
        <w:ind w:firstLine="643" w:firstLineChars="200"/>
        <w:outlineLvl w:val="1"/>
        <w:rPr>
          <w:rFonts w:ascii="楷体_GB2312" w:hAnsi="仿宋_GB2312" w:eastAsia="楷体_GB2312" w:cs="仿宋_GB2312"/>
          <w:b/>
          <w:bCs/>
          <w:sz w:val="32"/>
          <w:szCs w:val="32"/>
        </w:rPr>
      </w:pPr>
      <w:bookmarkStart w:id="68" w:name="_Toc226561977"/>
      <w:bookmarkStart w:id="69" w:name="_Toc221120271"/>
      <w:r>
        <w:rPr>
          <w:rFonts w:hint="eastAsia" w:ascii="楷体_GB2312" w:hAnsi="仿宋_GB2312" w:eastAsia="楷体_GB2312" w:cs="仿宋_GB2312"/>
          <w:b/>
          <w:bCs/>
          <w:sz w:val="32"/>
          <w:szCs w:val="32"/>
        </w:rPr>
        <w:t>（六）提高行业治理效能</w:t>
      </w:r>
      <w:bookmarkEnd w:id="68"/>
      <w:bookmarkEnd w:id="69"/>
    </w:p>
    <w:p w14:paraId="66AC1881">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落实国家治理体系和治理能力现代化部署要求，持续深化行政执法改革，加快建设统一开放的交通运输市场，深化交通法治建设，推进行业文明建设，以高效能治理促进高质量发展</w:t>
      </w:r>
      <w:r>
        <w:rPr>
          <w:rFonts w:hint="eastAsia" w:ascii="仿宋_GB2312" w:hAnsi="仿宋_GB2312" w:eastAsia="仿宋_GB2312" w:cs="仿宋_GB2312"/>
          <w:bCs/>
          <w:sz w:val="32"/>
          <w:szCs w:val="32"/>
          <w:lang w:eastAsia="zh-CN"/>
        </w:rPr>
        <w:t>，实现良性互动。</w:t>
      </w:r>
    </w:p>
    <w:p w14:paraId="6BC5FFAD">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70" w:name="_Toc221120272"/>
      <w:r>
        <w:rPr>
          <w:rFonts w:hint="eastAsia" w:ascii="Times New Roman" w:hAnsi="Times New Roman" w:eastAsia="仿宋_GB2312" w:cs="Times New Roman"/>
          <w:b/>
          <w:sz w:val="32"/>
          <w:szCs w:val="32"/>
          <w:u w:color="000000"/>
          <w14:ligatures w14:val="none"/>
        </w:rPr>
        <w:t>1. 持续深化行政执法改革</w:t>
      </w:r>
      <w:bookmarkEnd w:id="70"/>
    </w:p>
    <w:p w14:paraId="71DF37A9">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建立专业化</w:t>
      </w:r>
      <w:r>
        <w:rPr>
          <w:rFonts w:ascii="仿宋_GB2312" w:hAnsi="仿宋_GB2312" w:eastAsia="仿宋_GB2312" w:cs="仿宋_GB2312"/>
          <w:bCs/>
          <w:sz w:val="32"/>
          <w:szCs w:val="32"/>
        </w:rPr>
        <w:t>执法队伍</w:t>
      </w:r>
      <w:r>
        <w:rPr>
          <w:rFonts w:hint="eastAsia" w:ascii="仿宋_GB2312" w:hAnsi="仿宋_GB2312" w:eastAsia="仿宋_GB2312" w:cs="仿宋_GB2312"/>
          <w:bCs/>
          <w:sz w:val="32"/>
          <w:szCs w:val="32"/>
        </w:rPr>
        <w:t>，实现一支队伍高效执法。推行跨部门联合执法，针对“两客一危”车辆安全监管、非法营运打击、超限超载治理等重点领域，开展常态化联合执法。持续优化法治化营商环境，着力规范行政执法行为，健全规范涉企执法长效机制，防止和纠正违规异地执法、趋利性执法。</w:t>
      </w:r>
    </w:p>
    <w:p w14:paraId="4114C222">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71" w:name="_Toc221120273"/>
      <w:r>
        <w:rPr>
          <w:rFonts w:hint="eastAsia" w:ascii="Times New Roman" w:hAnsi="Times New Roman" w:eastAsia="仿宋_GB2312" w:cs="Times New Roman"/>
          <w:b/>
          <w:sz w:val="32"/>
          <w:szCs w:val="32"/>
          <w:u w:color="000000"/>
          <w14:ligatures w14:val="none"/>
        </w:rPr>
        <w:t>2. 建设统一开放交通运输市场</w:t>
      </w:r>
      <w:bookmarkEnd w:id="71"/>
    </w:p>
    <w:p w14:paraId="201195CC">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健全交通运输市场治理体系，补齐市场准入与退出、公平竞争、质量监管等领域制度短板。优化交通运输行政许可流程，持续推广“道路运输企业一件事”集成服务并延伸应用场景。推进交通运输信用体系建设，对运输企业实施信用分级管理。</w:t>
      </w:r>
    </w:p>
    <w:p w14:paraId="0C5BCFC3">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72" w:name="_Toc221120274"/>
      <w:r>
        <w:rPr>
          <w:rFonts w:hint="eastAsia" w:ascii="Times New Roman" w:hAnsi="Times New Roman" w:eastAsia="仿宋_GB2312" w:cs="Times New Roman"/>
          <w:b/>
          <w:sz w:val="32"/>
          <w:szCs w:val="32"/>
          <w:u w:color="000000"/>
          <w14:ligatures w14:val="none"/>
        </w:rPr>
        <w:t>3. 深化交通运输法治建设</w:t>
      </w:r>
      <w:bookmarkEnd w:id="72"/>
    </w:p>
    <w:p w14:paraId="10304405">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动态修订《行政执法事项清单》并及时公示。以《山西省交通运输厅行政处罚裁量权基准》为遵循，严格执行裁量基准。强化实施重大案件集体讨论、案件回访、行政执法案卷评查等案件管理制度。优化“两客一危”、普货等“双随机、一公开”检查的比例和频次。</w:t>
      </w:r>
    </w:p>
    <w:p w14:paraId="1982E9B1">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73" w:name="_Toc221120275"/>
      <w:r>
        <w:rPr>
          <w:rFonts w:hint="eastAsia" w:ascii="Times New Roman" w:hAnsi="Times New Roman" w:eastAsia="仿宋_GB2312" w:cs="Times New Roman"/>
          <w:b/>
          <w:sz w:val="32"/>
          <w:szCs w:val="32"/>
          <w:u w:color="000000"/>
          <w14:ligatures w14:val="none"/>
        </w:rPr>
        <w:t>4. 加强交通行业文明建设</w:t>
      </w:r>
      <w:bookmarkEnd w:id="73"/>
    </w:p>
    <w:p w14:paraId="03BA7BFE">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宣传交通安全知识和文明出行理念，培养广大市民的文明交通意识。在交通建设、物流运输、出行服务、汽车维修等领域，开展诚信品牌创建活动。制定普法计划，全面落实“谁执法谁普法”普法责任制。</w:t>
      </w:r>
    </w:p>
    <w:p w14:paraId="2698B734">
      <w:pPr>
        <w:adjustRightInd w:val="0"/>
        <w:spacing w:after="0" w:line="600" w:lineRule="exact"/>
        <w:ind w:firstLine="643" w:firstLineChars="200"/>
        <w:outlineLvl w:val="1"/>
        <w:rPr>
          <w:rFonts w:ascii="楷体_GB2312" w:hAnsi="仿宋_GB2312" w:eastAsia="楷体_GB2312" w:cs="仿宋_GB2312"/>
          <w:b/>
          <w:bCs/>
          <w:sz w:val="32"/>
          <w:szCs w:val="32"/>
        </w:rPr>
      </w:pPr>
      <w:bookmarkStart w:id="74" w:name="_Toc221120276"/>
      <w:bookmarkStart w:id="75" w:name="_Toc226561978"/>
      <w:r>
        <w:rPr>
          <w:rFonts w:hint="eastAsia" w:ascii="楷体_GB2312" w:hAnsi="仿宋_GB2312" w:eastAsia="楷体_GB2312" w:cs="仿宋_GB2312"/>
          <w:b/>
          <w:bCs/>
          <w:sz w:val="32"/>
          <w:szCs w:val="32"/>
        </w:rPr>
        <w:t>（七）推动交通消费扩容</w:t>
      </w:r>
      <w:bookmarkEnd w:id="74"/>
      <w:bookmarkEnd w:id="75"/>
    </w:p>
    <w:p w14:paraId="274D3853">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推动交通多业态融合发展，拓展交通运输服务新功能，培育交通关联消费新模式，前瞻布局未来交通服务消费新场景，发展壮大即时零售、体育赛事、房车营地、低空飞行、新能源汽车租赁、跨城闪送等服务消费新业态，打造服务消费新引擎。</w:t>
      </w:r>
    </w:p>
    <w:p w14:paraId="4C5D5E98">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76" w:name="_Toc221120277"/>
      <w:r>
        <w:rPr>
          <w:rFonts w:hint="eastAsia" w:ascii="Times New Roman" w:hAnsi="Times New Roman" w:eastAsia="仿宋_GB2312" w:cs="Times New Roman"/>
          <w:b/>
          <w:sz w:val="32"/>
          <w:szCs w:val="32"/>
          <w:u w:color="000000"/>
          <w14:ligatures w14:val="none"/>
        </w:rPr>
        <w:t>1. 深化交通与旅游融合发展</w:t>
      </w:r>
      <w:bookmarkEnd w:id="76"/>
    </w:p>
    <w:p w14:paraId="17283AD0">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托航空和铁路客运枢纽建设旅游集散中心，发展旅游直通车、旅游专线、旅游专列。开发交旅融合特色产品，探索开发“太行古堡专线”等主题公交线路，在丹河新城试点开行“公交超市”专线，依托太行一号旅游公路，举办骑行、越野、马拉松等国际国内赛事活动，推出水上服务产品，谋划打造“丹河寻幽”“沁河逐波”等游船品牌。优化旅游公路交通指引标识体系，继续落实好《晋城市高质量推进太行一号旅游公路沿线提质增效三年行动方案》</w:t>
      </w:r>
      <w:r>
        <w:rPr>
          <w:rFonts w:ascii="仿宋_GB2312" w:hAnsi="仿宋_GB2312" w:eastAsia="仿宋_GB2312" w:cs="仿宋_GB2312"/>
          <w:bCs/>
          <w:sz w:val="32"/>
          <w:szCs w:val="32"/>
        </w:rPr>
        <w:t>,在太行一号旅游公路沿线建设驿站、营地、观景台、加油站、充电桩等服务设</w:t>
      </w:r>
      <w:r>
        <w:rPr>
          <w:rFonts w:hint="eastAsia" w:ascii="仿宋_GB2312" w:hAnsi="仿宋_GB2312" w:eastAsia="仿宋_GB2312" w:cs="仿宋_GB2312"/>
          <w:bCs/>
          <w:sz w:val="32"/>
          <w:szCs w:val="32"/>
        </w:rPr>
        <w:t>施，在有条件的路段推行客货分流。挖潜交旅融合服务消费潜力，发展自驾车房车露营、低空飞行等旅游交通新业态。</w:t>
      </w:r>
    </w:p>
    <w:p w14:paraId="1834FE2A">
      <w:pPr>
        <w:widowControl/>
        <w:spacing w:after="0" w:line="600" w:lineRule="exact"/>
        <w:ind w:firstLine="643" w:firstLineChars="200"/>
        <w:outlineLvl w:val="2"/>
        <w:rPr>
          <w:rFonts w:ascii="Times New Roman" w:hAnsi="Times New Roman" w:eastAsia="仿宋_GB2312" w:cs="Times New Roman"/>
          <w:b/>
          <w:sz w:val="32"/>
          <w:szCs w:val="32"/>
          <w:u w:color="000000"/>
          <w14:ligatures w14:val="none"/>
        </w:rPr>
      </w:pPr>
      <w:bookmarkStart w:id="77" w:name="_Toc221120278"/>
      <w:r>
        <w:rPr>
          <w:rFonts w:hint="eastAsia" w:ascii="Times New Roman" w:hAnsi="Times New Roman" w:eastAsia="仿宋_GB2312" w:cs="Times New Roman"/>
          <w:b/>
          <w:sz w:val="32"/>
          <w:szCs w:val="32"/>
          <w:u w:color="000000"/>
          <w14:ligatures w14:val="none"/>
        </w:rPr>
        <w:t>2. 布局交通服务消费新场景</w:t>
      </w:r>
      <w:bookmarkEnd w:id="77"/>
    </w:p>
    <w:p w14:paraId="5BE0311E">
      <w:pPr>
        <w:adjustRightInd w:val="0"/>
        <w:spacing w:after="0" w:line="600" w:lineRule="exact"/>
        <w:ind w:firstLine="640" w:firstLineChars="200"/>
        <w:rPr>
          <w:rFonts w:ascii="仿宋_GB2312" w:hAnsi="仿宋_GB2312" w:eastAsia="仿宋_GB2312" w:cs="仿宋_GB2312"/>
          <w:bCs/>
          <w:sz w:val="32"/>
          <w:szCs w:val="32"/>
        </w:rPr>
        <w:sectPr>
          <w:pgSz w:w="11906" w:h="16838"/>
          <w:pgMar w:top="1440" w:right="1800" w:bottom="1440" w:left="1800" w:header="851" w:footer="850" w:gutter="0"/>
          <w:cols w:space="425" w:num="1"/>
          <w:docGrid w:type="lines" w:linePitch="326" w:charSpace="0"/>
        </w:sectPr>
      </w:pPr>
      <w:r>
        <w:rPr>
          <w:rFonts w:hint="eastAsia" w:ascii="仿宋_GB2312" w:hAnsi="仿宋_GB2312" w:eastAsia="仿宋_GB2312" w:cs="仿宋_GB2312"/>
          <w:bCs/>
          <w:sz w:val="32"/>
          <w:szCs w:val="32"/>
        </w:rPr>
        <w:t>支持交通物流企业与电商平台、货主企业等创新供应链协同发展模式，加速智能安检、自动分拣、无人仓、无人车、无人机等设施装备在快递领域的推广应用，鼓励有条件的县市发展无人机等无接触配送模式，衍生“小时达”、跨城闪送等物流模式。依托</w:t>
      </w:r>
      <w:r>
        <w:rPr>
          <w:rFonts w:ascii="仿宋_GB2312" w:hAnsi="仿宋_GB2312" w:eastAsia="仿宋_GB2312" w:cs="仿宋_GB2312"/>
          <w:bCs/>
          <w:sz w:val="32"/>
          <w:szCs w:val="32"/>
        </w:rPr>
        <w:t>二广高速公路示范路段数字化转型，引领服务消费模式创新，构建数字化出行服务体系，前瞻布局交通领域未来服务消费场景，催生自动驾驶衍生的移动办公和沉浸式娱乐体验、高端通勤服务等服务消费新需求。</w:t>
      </w:r>
    </w:p>
    <w:p w14:paraId="71023D97">
      <w:pPr>
        <w:adjustRightInd w:val="0"/>
        <w:spacing w:after="0" w:line="600" w:lineRule="exact"/>
        <w:ind w:firstLine="640" w:firstLineChars="200"/>
        <w:outlineLvl w:val="0"/>
        <w:rPr>
          <w:rFonts w:ascii="黑体" w:hAnsi="黑体" w:eastAsia="黑体" w:cs="Times New Roman"/>
          <w:sz w:val="32"/>
          <w:szCs w:val="32"/>
        </w:rPr>
      </w:pPr>
      <w:bookmarkStart w:id="78" w:name="_Toc226561979"/>
      <w:r>
        <w:rPr>
          <w:rFonts w:hint="eastAsia" w:ascii="黑体" w:hAnsi="黑体" w:eastAsia="黑体" w:cs="Times New Roman"/>
          <w:sz w:val="32"/>
          <w:szCs w:val="32"/>
        </w:rPr>
        <w:t>五、保障措施</w:t>
      </w:r>
      <w:bookmarkEnd w:id="78"/>
    </w:p>
    <w:p w14:paraId="29EA2762">
      <w:pPr>
        <w:adjustRightInd w:val="0"/>
        <w:spacing w:after="0" w:line="600" w:lineRule="exact"/>
        <w:ind w:firstLine="643" w:firstLineChars="200"/>
        <w:outlineLvl w:val="1"/>
        <w:rPr>
          <w:rFonts w:ascii="楷体_GB2312" w:hAnsi="仿宋_GB2312" w:eastAsia="楷体_GB2312" w:cs="仿宋_GB2312"/>
          <w:b/>
          <w:bCs/>
          <w:sz w:val="32"/>
          <w:szCs w:val="32"/>
        </w:rPr>
      </w:pPr>
      <w:bookmarkStart w:id="79" w:name="_Toc226561980"/>
      <w:bookmarkStart w:id="80" w:name="_Toc219542943"/>
      <w:r>
        <w:rPr>
          <w:rFonts w:hint="eastAsia" w:ascii="楷体_GB2312" w:hAnsi="仿宋_GB2312" w:eastAsia="楷体_GB2312" w:cs="仿宋_GB2312"/>
          <w:b/>
          <w:bCs/>
          <w:sz w:val="32"/>
          <w:szCs w:val="32"/>
        </w:rPr>
        <w:t>（一）坚持党的领导</w:t>
      </w:r>
      <w:bookmarkEnd w:id="79"/>
      <w:bookmarkEnd w:id="80"/>
    </w:p>
    <w:p w14:paraId="56314F47">
      <w:pPr>
        <w:adjustRightInd w:val="0"/>
        <w:spacing w:after="0"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坚持以习近平新时代中国特色社会主义思想为指引，深入贯彻党的二十大和二十届历次全会精神，切实把党的创新理论转化为推动交通事业发展的强大动力，引导广大党员发挥先锋模范作用，进一步提高把方向、谋大局、定政策、促改革能力，把党的领导贯穿规划落实各方面全过程，为晋城交通运输高质量发展提供坚强政治保证。</w:t>
      </w:r>
    </w:p>
    <w:p w14:paraId="2C4761D4">
      <w:pPr>
        <w:adjustRightInd w:val="0"/>
        <w:spacing w:after="0" w:line="600" w:lineRule="exact"/>
        <w:ind w:firstLine="643" w:firstLineChars="200"/>
        <w:outlineLvl w:val="1"/>
        <w:rPr>
          <w:rFonts w:ascii="楷体_GB2312" w:hAnsi="仿宋_GB2312" w:eastAsia="楷体_GB2312" w:cs="仿宋_GB2312"/>
          <w:b/>
          <w:bCs/>
          <w:sz w:val="32"/>
          <w:szCs w:val="32"/>
        </w:rPr>
      </w:pPr>
      <w:bookmarkStart w:id="81" w:name="_Toc219542945"/>
      <w:bookmarkStart w:id="82" w:name="_Toc226561981"/>
      <w:r>
        <w:rPr>
          <w:rFonts w:hint="eastAsia" w:ascii="楷体_GB2312" w:hAnsi="仿宋_GB2312" w:eastAsia="楷体_GB2312" w:cs="仿宋_GB2312"/>
          <w:b/>
          <w:bCs/>
          <w:sz w:val="32"/>
          <w:szCs w:val="32"/>
        </w:rPr>
        <w:t>（二）</w:t>
      </w:r>
      <w:bookmarkEnd w:id="81"/>
      <w:r>
        <w:rPr>
          <w:rFonts w:hint="eastAsia" w:ascii="楷体_GB2312" w:hAnsi="仿宋_GB2312" w:eastAsia="楷体_GB2312" w:cs="仿宋_GB2312"/>
          <w:b/>
          <w:bCs/>
          <w:sz w:val="32"/>
          <w:szCs w:val="32"/>
        </w:rPr>
        <w:t>加强组织协调</w:t>
      </w:r>
      <w:bookmarkEnd w:id="82"/>
    </w:p>
    <w:p w14:paraId="6FC9661D">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与发改、商务、自然资源、生态环境、公安等部门之间的沟通协调，形成工作合力，共同推进重大交通项目建设和相关政策实施。加强交通运输规划与国土空间规划的衔接协调，合理确定土地性质，布局交通基础设施。各县（市）交通运输部门要紧密结合发展实际，做好地方交通运输发展规划与本规划的衔接落实。</w:t>
      </w:r>
    </w:p>
    <w:p w14:paraId="581FBE8D">
      <w:pPr>
        <w:adjustRightInd w:val="0"/>
        <w:spacing w:after="0" w:line="600" w:lineRule="exact"/>
        <w:ind w:firstLine="643" w:firstLineChars="200"/>
        <w:outlineLvl w:val="1"/>
        <w:rPr>
          <w:rFonts w:ascii="楷体_GB2312" w:hAnsi="仿宋_GB2312" w:eastAsia="楷体_GB2312" w:cs="仿宋_GB2312"/>
          <w:b/>
          <w:bCs/>
          <w:sz w:val="32"/>
          <w:szCs w:val="32"/>
        </w:rPr>
      </w:pPr>
      <w:bookmarkStart w:id="83" w:name="_Toc219542944"/>
      <w:bookmarkStart w:id="84" w:name="_Toc226561982"/>
      <w:r>
        <w:rPr>
          <w:rFonts w:hint="eastAsia" w:ascii="楷体_GB2312" w:hAnsi="仿宋_GB2312" w:eastAsia="楷体_GB2312" w:cs="仿宋_GB2312"/>
          <w:b/>
          <w:bCs/>
          <w:sz w:val="32"/>
          <w:szCs w:val="32"/>
        </w:rPr>
        <w:t>（三）强化要素保障</w:t>
      </w:r>
      <w:bookmarkEnd w:id="83"/>
      <w:bookmarkEnd w:id="84"/>
    </w:p>
    <w:p w14:paraId="73582F52">
      <w:pPr>
        <w:adjustRightInd w:val="0"/>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精准把握政策导向和申报要求，确保符合条件的项目及时纳入中央资金支持范围。积极争取省级财政配套资金，鼓励适宜市场化运作的基础设施项目采取特许经营模式。加大养护资金投入，充分引导多元化资本参与交通运输发展。强化重点项目用地保障，做好资源要素预留和供应。</w:t>
      </w:r>
    </w:p>
    <w:p w14:paraId="3CC2C29B">
      <w:pPr>
        <w:adjustRightInd w:val="0"/>
        <w:spacing w:after="0" w:line="600" w:lineRule="exact"/>
        <w:ind w:firstLine="643" w:firstLineChars="200"/>
        <w:outlineLvl w:val="1"/>
        <w:rPr>
          <w:rFonts w:ascii="楷体_GB2312" w:hAnsi="仿宋_GB2312" w:eastAsia="楷体_GB2312" w:cs="仿宋_GB2312"/>
          <w:b/>
          <w:bCs/>
          <w:sz w:val="32"/>
          <w:szCs w:val="32"/>
        </w:rPr>
      </w:pPr>
      <w:bookmarkStart w:id="85" w:name="_Toc219542946"/>
      <w:bookmarkStart w:id="86" w:name="_Toc226561983"/>
      <w:r>
        <w:rPr>
          <w:rFonts w:hint="eastAsia" w:ascii="楷体_GB2312" w:hAnsi="仿宋_GB2312" w:eastAsia="楷体_GB2312" w:cs="仿宋_GB2312"/>
          <w:b/>
          <w:bCs/>
          <w:sz w:val="32"/>
          <w:szCs w:val="32"/>
        </w:rPr>
        <w:t>（四）做好</w:t>
      </w:r>
      <w:bookmarkEnd w:id="85"/>
      <w:r>
        <w:rPr>
          <w:rFonts w:hint="eastAsia" w:ascii="楷体_GB2312" w:hAnsi="仿宋_GB2312" w:eastAsia="楷体_GB2312" w:cs="仿宋_GB2312"/>
          <w:b/>
          <w:bCs/>
          <w:sz w:val="32"/>
          <w:szCs w:val="32"/>
        </w:rPr>
        <w:t>实施指导</w:t>
      </w:r>
      <w:bookmarkEnd w:id="86"/>
    </w:p>
    <w:p w14:paraId="6FDB0A65">
      <w:pPr>
        <w:adjustRightInd w:val="0"/>
        <w:spacing w:after="0" w:line="600" w:lineRule="exact"/>
        <w:ind w:firstLine="640" w:firstLineChars="200"/>
        <w:rPr>
          <w:rFonts w:ascii="黑体" w:hAnsi="黑体" w:eastAsia="黑体" w:cs="Times New Roman"/>
          <w:b/>
          <w:kern w:val="0"/>
          <w:sz w:val="30"/>
          <w:szCs w:val="30"/>
          <w:u w:color="000000"/>
          <w14:ligatures w14:val="none"/>
        </w:rPr>
      </w:pPr>
      <w:r>
        <w:rPr>
          <w:rFonts w:hint="eastAsia" w:ascii="仿宋_GB2312" w:hAnsi="仿宋_GB2312" w:eastAsia="仿宋_GB2312" w:cs="仿宋_GB2312"/>
          <w:bCs/>
          <w:sz w:val="32"/>
          <w:szCs w:val="32"/>
        </w:rPr>
        <w:t>建立健全规划实施督促指导机制，加强对各责任单位的跟踪调度与业务指导，适时开展中期评估和建设项目后评估，必要时按程序对规划目标任务进行动态调整优化，确保规划落地见效。</w:t>
      </w:r>
      <w:bookmarkEnd w:id="44"/>
      <w:bookmarkEnd w:id="45"/>
    </w:p>
    <w:sectPr>
      <w:headerReference r:id="rId7" w:type="default"/>
      <w:footerReference r:id="rId8" w:type="default"/>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30304000000000000"/>
    <w:charset w:val="FC"/>
    <w:family w:val="auto"/>
    <w:pitch w:val="default"/>
    <w:sig w:usb0="E7FFAEFF" w:usb1="F9FFFFFF" w:usb2="000FFDFF" w:usb3="00000000" w:csb0="603F01FF" w:csb1="FFFF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等线">
    <w:panose1 w:val="02010600030101010101"/>
    <w:charset w:val="86"/>
    <w:family w:val="auto"/>
    <w:pitch w:val="default"/>
    <w:sig w:usb0="800002BF" w:usb1="38CF7CFA" w:usb2="00000016" w:usb3="00000000" w:csb0="00040001" w:csb1="00000000"/>
  </w:font>
  <w:font w:name="等线 Light">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1"/>
        <w:szCs w:val="21"/>
      </w:rPr>
    </w:sdtEndPr>
    <w:sdtContent>
      <w:p w14:paraId="4A24B054">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II</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475109"/>
    </w:sdtPr>
    <w:sdtEndPr>
      <w:rPr>
        <w:rFonts w:ascii="Times New Roman" w:hAnsi="Times New Roman" w:cs="Times New Roman"/>
        <w:sz w:val="21"/>
        <w:szCs w:val="21"/>
      </w:rPr>
    </w:sdtEndPr>
    <w:sdtContent>
      <w:p w14:paraId="382F310F">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4</w:t>
        </w:r>
        <w:r>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542"/>
    </w:sdtPr>
    <w:sdtEndPr>
      <w:rPr>
        <w:rFonts w:ascii="Times New Roman" w:hAnsi="Times New Roman" w:cs="Times New Roman"/>
      </w:rPr>
    </w:sdtEndPr>
    <w:sdtContent>
      <w:p w14:paraId="3E68B303">
        <w:pPr>
          <w:pStyle w:val="1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28</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069F2">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Y2FjZjE2OGYyYTBjOTY3YmIxMzdmYWQ4ZTVmYmYifQ=="/>
  </w:docVars>
  <w:rsids>
    <w:rsidRoot w:val="00650905"/>
    <w:rsid w:val="00000BC9"/>
    <w:rsid w:val="00001382"/>
    <w:rsid w:val="00001D09"/>
    <w:rsid w:val="00007CA0"/>
    <w:rsid w:val="000103F7"/>
    <w:rsid w:val="000154EF"/>
    <w:rsid w:val="0001604E"/>
    <w:rsid w:val="00017800"/>
    <w:rsid w:val="000224CA"/>
    <w:rsid w:val="000273F3"/>
    <w:rsid w:val="00034303"/>
    <w:rsid w:val="0004156C"/>
    <w:rsid w:val="000424E2"/>
    <w:rsid w:val="000474BA"/>
    <w:rsid w:val="00053B4F"/>
    <w:rsid w:val="00063A6A"/>
    <w:rsid w:val="00066F88"/>
    <w:rsid w:val="00082208"/>
    <w:rsid w:val="000825CF"/>
    <w:rsid w:val="000857D9"/>
    <w:rsid w:val="000957BB"/>
    <w:rsid w:val="000A587F"/>
    <w:rsid w:val="000A7DBA"/>
    <w:rsid w:val="000B34AA"/>
    <w:rsid w:val="000B4937"/>
    <w:rsid w:val="000B5363"/>
    <w:rsid w:val="000C715F"/>
    <w:rsid w:val="000E68F4"/>
    <w:rsid w:val="000E721F"/>
    <w:rsid w:val="000F4957"/>
    <w:rsid w:val="000F71F5"/>
    <w:rsid w:val="000F7C19"/>
    <w:rsid w:val="00111052"/>
    <w:rsid w:val="001155F1"/>
    <w:rsid w:val="00117666"/>
    <w:rsid w:val="00120252"/>
    <w:rsid w:val="00121D47"/>
    <w:rsid w:val="00123F52"/>
    <w:rsid w:val="001262E8"/>
    <w:rsid w:val="00130EDD"/>
    <w:rsid w:val="00134B46"/>
    <w:rsid w:val="001358A7"/>
    <w:rsid w:val="00136733"/>
    <w:rsid w:val="001371B6"/>
    <w:rsid w:val="0015364F"/>
    <w:rsid w:val="001549A6"/>
    <w:rsid w:val="00157991"/>
    <w:rsid w:val="00163078"/>
    <w:rsid w:val="001655F0"/>
    <w:rsid w:val="001717C9"/>
    <w:rsid w:val="001775AA"/>
    <w:rsid w:val="001843C6"/>
    <w:rsid w:val="0019239F"/>
    <w:rsid w:val="001A3BAF"/>
    <w:rsid w:val="001B0A6F"/>
    <w:rsid w:val="001B6D4E"/>
    <w:rsid w:val="001D4100"/>
    <w:rsid w:val="001D7951"/>
    <w:rsid w:val="001F1C3F"/>
    <w:rsid w:val="001F232E"/>
    <w:rsid w:val="00200596"/>
    <w:rsid w:val="00201761"/>
    <w:rsid w:val="0020301B"/>
    <w:rsid w:val="0020532D"/>
    <w:rsid w:val="002057E2"/>
    <w:rsid w:val="00210065"/>
    <w:rsid w:val="00212F64"/>
    <w:rsid w:val="002212A0"/>
    <w:rsid w:val="00223308"/>
    <w:rsid w:val="00231086"/>
    <w:rsid w:val="0023516D"/>
    <w:rsid w:val="002454C2"/>
    <w:rsid w:val="00253B22"/>
    <w:rsid w:val="002633CD"/>
    <w:rsid w:val="00263839"/>
    <w:rsid w:val="0028156D"/>
    <w:rsid w:val="002A654D"/>
    <w:rsid w:val="002B34A6"/>
    <w:rsid w:val="002C485E"/>
    <w:rsid w:val="002D3E07"/>
    <w:rsid w:val="002D6D0F"/>
    <w:rsid w:val="002E34D4"/>
    <w:rsid w:val="002E75CD"/>
    <w:rsid w:val="002F62BD"/>
    <w:rsid w:val="002F73C0"/>
    <w:rsid w:val="003049A2"/>
    <w:rsid w:val="00320CC1"/>
    <w:rsid w:val="003267C4"/>
    <w:rsid w:val="00326F7A"/>
    <w:rsid w:val="00330A39"/>
    <w:rsid w:val="0033328B"/>
    <w:rsid w:val="00340068"/>
    <w:rsid w:val="0034496B"/>
    <w:rsid w:val="00361FD6"/>
    <w:rsid w:val="00363BFA"/>
    <w:rsid w:val="0036786B"/>
    <w:rsid w:val="003710AD"/>
    <w:rsid w:val="003724F2"/>
    <w:rsid w:val="00374707"/>
    <w:rsid w:val="003973D9"/>
    <w:rsid w:val="003B0104"/>
    <w:rsid w:val="003B6290"/>
    <w:rsid w:val="003B7826"/>
    <w:rsid w:val="003D6218"/>
    <w:rsid w:val="003D7E28"/>
    <w:rsid w:val="003F1DAF"/>
    <w:rsid w:val="00400028"/>
    <w:rsid w:val="00410BF1"/>
    <w:rsid w:val="00414284"/>
    <w:rsid w:val="00415574"/>
    <w:rsid w:val="004216F6"/>
    <w:rsid w:val="00422A27"/>
    <w:rsid w:val="00425184"/>
    <w:rsid w:val="00445658"/>
    <w:rsid w:val="004516C3"/>
    <w:rsid w:val="00467920"/>
    <w:rsid w:val="004716B6"/>
    <w:rsid w:val="00487E53"/>
    <w:rsid w:val="004900C7"/>
    <w:rsid w:val="00492C01"/>
    <w:rsid w:val="004A545B"/>
    <w:rsid w:val="004A77AB"/>
    <w:rsid w:val="004B1982"/>
    <w:rsid w:val="004B7659"/>
    <w:rsid w:val="004C074C"/>
    <w:rsid w:val="004C6DF1"/>
    <w:rsid w:val="004D33EB"/>
    <w:rsid w:val="004D357A"/>
    <w:rsid w:val="004E708C"/>
    <w:rsid w:val="004F5480"/>
    <w:rsid w:val="0051382A"/>
    <w:rsid w:val="00526E8B"/>
    <w:rsid w:val="00544334"/>
    <w:rsid w:val="00545B79"/>
    <w:rsid w:val="00561A6A"/>
    <w:rsid w:val="0056468A"/>
    <w:rsid w:val="00564694"/>
    <w:rsid w:val="005709BC"/>
    <w:rsid w:val="00572D0C"/>
    <w:rsid w:val="0058175E"/>
    <w:rsid w:val="005826FC"/>
    <w:rsid w:val="005902F5"/>
    <w:rsid w:val="00590D85"/>
    <w:rsid w:val="005A02C1"/>
    <w:rsid w:val="005A249D"/>
    <w:rsid w:val="005A34B3"/>
    <w:rsid w:val="005A49CF"/>
    <w:rsid w:val="005B25FD"/>
    <w:rsid w:val="005B2C46"/>
    <w:rsid w:val="005B5A40"/>
    <w:rsid w:val="005C2B21"/>
    <w:rsid w:val="005C586C"/>
    <w:rsid w:val="005C7375"/>
    <w:rsid w:val="005C7B2F"/>
    <w:rsid w:val="005D413E"/>
    <w:rsid w:val="005D4E42"/>
    <w:rsid w:val="005E036F"/>
    <w:rsid w:val="005F1CF9"/>
    <w:rsid w:val="0060319E"/>
    <w:rsid w:val="00606781"/>
    <w:rsid w:val="006152DF"/>
    <w:rsid w:val="006158E5"/>
    <w:rsid w:val="00621FE6"/>
    <w:rsid w:val="00637A54"/>
    <w:rsid w:val="006404D3"/>
    <w:rsid w:val="00641949"/>
    <w:rsid w:val="00646508"/>
    <w:rsid w:val="00650905"/>
    <w:rsid w:val="00671EF9"/>
    <w:rsid w:val="00676CD4"/>
    <w:rsid w:val="00681D9C"/>
    <w:rsid w:val="00684312"/>
    <w:rsid w:val="00684A5D"/>
    <w:rsid w:val="006B0B20"/>
    <w:rsid w:val="006D3947"/>
    <w:rsid w:val="006E6C28"/>
    <w:rsid w:val="006F3EB1"/>
    <w:rsid w:val="006F60F0"/>
    <w:rsid w:val="006F67A5"/>
    <w:rsid w:val="007032E4"/>
    <w:rsid w:val="00710BFC"/>
    <w:rsid w:val="00712C21"/>
    <w:rsid w:val="0072152F"/>
    <w:rsid w:val="00722236"/>
    <w:rsid w:val="00724183"/>
    <w:rsid w:val="007271F0"/>
    <w:rsid w:val="0073495C"/>
    <w:rsid w:val="00740606"/>
    <w:rsid w:val="00743F2C"/>
    <w:rsid w:val="00747AD6"/>
    <w:rsid w:val="007519DC"/>
    <w:rsid w:val="00752730"/>
    <w:rsid w:val="00756F22"/>
    <w:rsid w:val="00757070"/>
    <w:rsid w:val="0076360A"/>
    <w:rsid w:val="007729B3"/>
    <w:rsid w:val="0078008F"/>
    <w:rsid w:val="0078130D"/>
    <w:rsid w:val="0078399C"/>
    <w:rsid w:val="007850E1"/>
    <w:rsid w:val="00793047"/>
    <w:rsid w:val="007A201B"/>
    <w:rsid w:val="007A76C7"/>
    <w:rsid w:val="007A7919"/>
    <w:rsid w:val="007B3C6F"/>
    <w:rsid w:val="007C14F2"/>
    <w:rsid w:val="007C27E4"/>
    <w:rsid w:val="007C5F84"/>
    <w:rsid w:val="007D17D0"/>
    <w:rsid w:val="007D225C"/>
    <w:rsid w:val="007E15BD"/>
    <w:rsid w:val="007E274F"/>
    <w:rsid w:val="007F6F6A"/>
    <w:rsid w:val="00806DD3"/>
    <w:rsid w:val="00814CB7"/>
    <w:rsid w:val="00815373"/>
    <w:rsid w:val="00817D02"/>
    <w:rsid w:val="00822597"/>
    <w:rsid w:val="00824335"/>
    <w:rsid w:val="00826934"/>
    <w:rsid w:val="00826C19"/>
    <w:rsid w:val="00831CC3"/>
    <w:rsid w:val="008328BB"/>
    <w:rsid w:val="008371F9"/>
    <w:rsid w:val="00842FB2"/>
    <w:rsid w:val="0084558E"/>
    <w:rsid w:val="00850875"/>
    <w:rsid w:val="00852553"/>
    <w:rsid w:val="00863214"/>
    <w:rsid w:val="00866ED2"/>
    <w:rsid w:val="00870815"/>
    <w:rsid w:val="0087422E"/>
    <w:rsid w:val="0087692D"/>
    <w:rsid w:val="00880100"/>
    <w:rsid w:val="008831BE"/>
    <w:rsid w:val="00884385"/>
    <w:rsid w:val="008865E8"/>
    <w:rsid w:val="008A0C77"/>
    <w:rsid w:val="008B3155"/>
    <w:rsid w:val="008B3881"/>
    <w:rsid w:val="008B76DA"/>
    <w:rsid w:val="008C0F86"/>
    <w:rsid w:val="008C3D82"/>
    <w:rsid w:val="008C62F6"/>
    <w:rsid w:val="008C6E4B"/>
    <w:rsid w:val="008D2DE6"/>
    <w:rsid w:val="008D2FC2"/>
    <w:rsid w:val="008E20BC"/>
    <w:rsid w:val="008E2F79"/>
    <w:rsid w:val="008E66C1"/>
    <w:rsid w:val="00903DDD"/>
    <w:rsid w:val="00905228"/>
    <w:rsid w:val="009064F7"/>
    <w:rsid w:val="00912BD3"/>
    <w:rsid w:val="00923A97"/>
    <w:rsid w:val="00925710"/>
    <w:rsid w:val="00926008"/>
    <w:rsid w:val="009262DA"/>
    <w:rsid w:val="0093056B"/>
    <w:rsid w:val="00933779"/>
    <w:rsid w:val="00933997"/>
    <w:rsid w:val="00940D95"/>
    <w:rsid w:val="009425C1"/>
    <w:rsid w:val="009429E6"/>
    <w:rsid w:val="0095295D"/>
    <w:rsid w:val="009742E4"/>
    <w:rsid w:val="00982B16"/>
    <w:rsid w:val="00992022"/>
    <w:rsid w:val="00992C7E"/>
    <w:rsid w:val="009934CD"/>
    <w:rsid w:val="00994263"/>
    <w:rsid w:val="009A035B"/>
    <w:rsid w:val="009A13EE"/>
    <w:rsid w:val="009A4983"/>
    <w:rsid w:val="009B2CB6"/>
    <w:rsid w:val="009B4B94"/>
    <w:rsid w:val="009B63A2"/>
    <w:rsid w:val="009C4FB0"/>
    <w:rsid w:val="009C72DF"/>
    <w:rsid w:val="009D06FA"/>
    <w:rsid w:val="009D5618"/>
    <w:rsid w:val="009D64DF"/>
    <w:rsid w:val="009D655D"/>
    <w:rsid w:val="009E5DE0"/>
    <w:rsid w:val="009F14CE"/>
    <w:rsid w:val="00A044E0"/>
    <w:rsid w:val="00A137F8"/>
    <w:rsid w:val="00A21460"/>
    <w:rsid w:val="00A22C59"/>
    <w:rsid w:val="00A376F2"/>
    <w:rsid w:val="00A4219F"/>
    <w:rsid w:val="00A4339B"/>
    <w:rsid w:val="00A43884"/>
    <w:rsid w:val="00A44483"/>
    <w:rsid w:val="00A54BEF"/>
    <w:rsid w:val="00A54E2A"/>
    <w:rsid w:val="00A558FB"/>
    <w:rsid w:val="00A60713"/>
    <w:rsid w:val="00A74EA0"/>
    <w:rsid w:val="00A837BB"/>
    <w:rsid w:val="00A84CFC"/>
    <w:rsid w:val="00A93B56"/>
    <w:rsid w:val="00A94411"/>
    <w:rsid w:val="00A95C84"/>
    <w:rsid w:val="00AA1209"/>
    <w:rsid w:val="00AA4B89"/>
    <w:rsid w:val="00AB747A"/>
    <w:rsid w:val="00AC05CA"/>
    <w:rsid w:val="00AC7ACB"/>
    <w:rsid w:val="00AE0906"/>
    <w:rsid w:val="00AE2357"/>
    <w:rsid w:val="00AF17EE"/>
    <w:rsid w:val="00AF217B"/>
    <w:rsid w:val="00AF38E5"/>
    <w:rsid w:val="00AF6FF5"/>
    <w:rsid w:val="00B017D0"/>
    <w:rsid w:val="00B03944"/>
    <w:rsid w:val="00B10897"/>
    <w:rsid w:val="00B20445"/>
    <w:rsid w:val="00B26918"/>
    <w:rsid w:val="00B26E28"/>
    <w:rsid w:val="00B31A27"/>
    <w:rsid w:val="00B35C66"/>
    <w:rsid w:val="00B43CC8"/>
    <w:rsid w:val="00B4718D"/>
    <w:rsid w:val="00B47768"/>
    <w:rsid w:val="00B47F4A"/>
    <w:rsid w:val="00B5116F"/>
    <w:rsid w:val="00B629EA"/>
    <w:rsid w:val="00B82FB2"/>
    <w:rsid w:val="00B856E2"/>
    <w:rsid w:val="00B93B6F"/>
    <w:rsid w:val="00BA565D"/>
    <w:rsid w:val="00BB4A38"/>
    <w:rsid w:val="00BC55A7"/>
    <w:rsid w:val="00BC6C86"/>
    <w:rsid w:val="00BD735B"/>
    <w:rsid w:val="00BE0A9C"/>
    <w:rsid w:val="00BE66AA"/>
    <w:rsid w:val="00BF374D"/>
    <w:rsid w:val="00BF3A7A"/>
    <w:rsid w:val="00C0375E"/>
    <w:rsid w:val="00C0676F"/>
    <w:rsid w:val="00C128B2"/>
    <w:rsid w:val="00C320CE"/>
    <w:rsid w:val="00C34378"/>
    <w:rsid w:val="00C364C4"/>
    <w:rsid w:val="00C42E4C"/>
    <w:rsid w:val="00C479C3"/>
    <w:rsid w:val="00C5019E"/>
    <w:rsid w:val="00C52ADD"/>
    <w:rsid w:val="00C5313A"/>
    <w:rsid w:val="00C53CF0"/>
    <w:rsid w:val="00C70723"/>
    <w:rsid w:val="00C73BE5"/>
    <w:rsid w:val="00C76307"/>
    <w:rsid w:val="00C9565C"/>
    <w:rsid w:val="00C96A75"/>
    <w:rsid w:val="00C97FFB"/>
    <w:rsid w:val="00CA38C2"/>
    <w:rsid w:val="00CA5490"/>
    <w:rsid w:val="00CB28B5"/>
    <w:rsid w:val="00CC0D7B"/>
    <w:rsid w:val="00CC3DD5"/>
    <w:rsid w:val="00CC464A"/>
    <w:rsid w:val="00CD0547"/>
    <w:rsid w:val="00CF695F"/>
    <w:rsid w:val="00D05173"/>
    <w:rsid w:val="00D27FA4"/>
    <w:rsid w:val="00D30FA2"/>
    <w:rsid w:val="00D35D2C"/>
    <w:rsid w:val="00D4093A"/>
    <w:rsid w:val="00D409DE"/>
    <w:rsid w:val="00D544FC"/>
    <w:rsid w:val="00D5710A"/>
    <w:rsid w:val="00D61649"/>
    <w:rsid w:val="00D6502C"/>
    <w:rsid w:val="00D708EE"/>
    <w:rsid w:val="00D7154F"/>
    <w:rsid w:val="00D77C76"/>
    <w:rsid w:val="00D80C88"/>
    <w:rsid w:val="00D81502"/>
    <w:rsid w:val="00D835D7"/>
    <w:rsid w:val="00D9691A"/>
    <w:rsid w:val="00DA45E7"/>
    <w:rsid w:val="00DA6898"/>
    <w:rsid w:val="00DB2D64"/>
    <w:rsid w:val="00DB3C72"/>
    <w:rsid w:val="00DB4612"/>
    <w:rsid w:val="00DB544A"/>
    <w:rsid w:val="00DB6BDA"/>
    <w:rsid w:val="00DD7DEE"/>
    <w:rsid w:val="00DE0107"/>
    <w:rsid w:val="00DE78B0"/>
    <w:rsid w:val="00DF4115"/>
    <w:rsid w:val="00DF434D"/>
    <w:rsid w:val="00E030B1"/>
    <w:rsid w:val="00E16F0B"/>
    <w:rsid w:val="00E24B8F"/>
    <w:rsid w:val="00E25BBB"/>
    <w:rsid w:val="00E439E8"/>
    <w:rsid w:val="00E44321"/>
    <w:rsid w:val="00E454E0"/>
    <w:rsid w:val="00E55B10"/>
    <w:rsid w:val="00E62A44"/>
    <w:rsid w:val="00E65BF9"/>
    <w:rsid w:val="00E71D9B"/>
    <w:rsid w:val="00E7594B"/>
    <w:rsid w:val="00E83F49"/>
    <w:rsid w:val="00E94233"/>
    <w:rsid w:val="00E9556F"/>
    <w:rsid w:val="00EA1FE6"/>
    <w:rsid w:val="00EB092C"/>
    <w:rsid w:val="00EC18C9"/>
    <w:rsid w:val="00ED2CD6"/>
    <w:rsid w:val="00ED58B5"/>
    <w:rsid w:val="00ED6323"/>
    <w:rsid w:val="00EE13B8"/>
    <w:rsid w:val="00EE2A53"/>
    <w:rsid w:val="00EE72B3"/>
    <w:rsid w:val="00EF0654"/>
    <w:rsid w:val="00F0510D"/>
    <w:rsid w:val="00F11012"/>
    <w:rsid w:val="00F11779"/>
    <w:rsid w:val="00F12CBA"/>
    <w:rsid w:val="00F146D1"/>
    <w:rsid w:val="00F175A2"/>
    <w:rsid w:val="00F27E49"/>
    <w:rsid w:val="00F31A82"/>
    <w:rsid w:val="00F3220C"/>
    <w:rsid w:val="00F322D1"/>
    <w:rsid w:val="00F34D40"/>
    <w:rsid w:val="00F35B22"/>
    <w:rsid w:val="00F36BCF"/>
    <w:rsid w:val="00F37F5B"/>
    <w:rsid w:val="00F42B2A"/>
    <w:rsid w:val="00F45568"/>
    <w:rsid w:val="00F6241A"/>
    <w:rsid w:val="00F6298B"/>
    <w:rsid w:val="00F7281A"/>
    <w:rsid w:val="00F7300B"/>
    <w:rsid w:val="00F73E85"/>
    <w:rsid w:val="00F8097C"/>
    <w:rsid w:val="00F8148C"/>
    <w:rsid w:val="00F85994"/>
    <w:rsid w:val="00F863A2"/>
    <w:rsid w:val="00F95C83"/>
    <w:rsid w:val="00FC0D84"/>
    <w:rsid w:val="00FD1C24"/>
    <w:rsid w:val="00FF0320"/>
    <w:rsid w:val="00FF21ED"/>
    <w:rsid w:val="025B2C93"/>
    <w:rsid w:val="025C68AD"/>
    <w:rsid w:val="02647ECA"/>
    <w:rsid w:val="027B1069"/>
    <w:rsid w:val="02953B44"/>
    <w:rsid w:val="02DA3C18"/>
    <w:rsid w:val="02E37041"/>
    <w:rsid w:val="031C07A5"/>
    <w:rsid w:val="038134CC"/>
    <w:rsid w:val="03982E19"/>
    <w:rsid w:val="03A90F48"/>
    <w:rsid w:val="03C52BEB"/>
    <w:rsid w:val="03F33612"/>
    <w:rsid w:val="043163B0"/>
    <w:rsid w:val="048F4537"/>
    <w:rsid w:val="049802FF"/>
    <w:rsid w:val="05191440"/>
    <w:rsid w:val="067B3A34"/>
    <w:rsid w:val="068C79F0"/>
    <w:rsid w:val="070752C8"/>
    <w:rsid w:val="071D689A"/>
    <w:rsid w:val="07BC4304"/>
    <w:rsid w:val="07E21347"/>
    <w:rsid w:val="08A57656"/>
    <w:rsid w:val="08C56D06"/>
    <w:rsid w:val="09C3197A"/>
    <w:rsid w:val="09EF276F"/>
    <w:rsid w:val="0A1B473E"/>
    <w:rsid w:val="0A2E773B"/>
    <w:rsid w:val="0AF53DB5"/>
    <w:rsid w:val="0B120EF5"/>
    <w:rsid w:val="0B7C44D7"/>
    <w:rsid w:val="0C042D90"/>
    <w:rsid w:val="0C4057D1"/>
    <w:rsid w:val="0C626871"/>
    <w:rsid w:val="0CC214DB"/>
    <w:rsid w:val="0CFB142B"/>
    <w:rsid w:val="0D00735B"/>
    <w:rsid w:val="0D2408DB"/>
    <w:rsid w:val="0D523741"/>
    <w:rsid w:val="0E7E2314"/>
    <w:rsid w:val="0EB43F87"/>
    <w:rsid w:val="0EFFE96A"/>
    <w:rsid w:val="0F8F61EA"/>
    <w:rsid w:val="1065381B"/>
    <w:rsid w:val="113D76EE"/>
    <w:rsid w:val="116033AF"/>
    <w:rsid w:val="118063A3"/>
    <w:rsid w:val="11AD5340"/>
    <w:rsid w:val="12045226"/>
    <w:rsid w:val="13370A53"/>
    <w:rsid w:val="13C52DC7"/>
    <w:rsid w:val="13F466BC"/>
    <w:rsid w:val="14180B15"/>
    <w:rsid w:val="146143A3"/>
    <w:rsid w:val="147246C9"/>
    <w:rsid w:val="15A34934"/>
    <w:rsid w:val="15B825AF"/>
    <w:rsid w:val="15CA3E77"/>
    <w:rsid w:val="162274E3"/>
    <w:rsid w:val="16930926"/>
    <w:rsid w:val="16B9612E"/>
    <w:rsid w:val="17240306"/>
    <w:rsid w:val="179D6461"/>
    <w:rsid w:val="17F93ECB"/>
    <w:rsid w:val="188E75F7"/>
    <w:rsid w:val="18D80C51"/>
    <w:rsid w:val="199F4727"/>
    <w:rsid w:val="1A6D5259"/>
    <w:rsid w:val="1A8011C2"/>
    <w:rsid w:val="1AF12560"/>
    <w:rsid w:val="1B77432C"/>
    <w:rsid w:val="1BBC447B"/>
    <w:rsid w:val="1BBF8469"/>
    <w:rsid w:val="1C1222ED"/>
    <w:rsid w:val="1C4F3791"/>
    <w:rsid w:val="1CAD1F34"/>
    <w:rsid w:val="1D1A6D7F"/>
    <w:rsid w:val="1D8C5FA9"/>
    <w:rsid w:val="1EB34447"/>
    <w:rsid w:val="1EF92460"/>
    <w:rsid w:val="1F15637C"/>
    <w:rsid w:val="1F3F4EFC"/>
    <w:rsid w:val="1F417171"/>
    <w:rsid w:val="1FDC4613"/>
    <w:rsid w:val="20E73F8E"/>
    <w:rsid w:val="210D3E01"/>
    <w:rsid w:val="21E63DAC"/>
    <w:rsid w:val="221F496A"/>
    <w:rsid w:val="22232C22"/>
    <w:rsid w:val="22546854"/>
    <w:rsid w:val="22981651"/>
    <w:rsid w:val="22FA0FEE"/>
    <w:rsid w:val="23362D65"/>
    <w:rsid w:val="24213A15"/>
    <w:rsid w:val="24343749"/>
    <w:rsid w:val="25156965"/>
    <w:rsid w:val="25E90563"/>
    <w:rsid w:val="2641214D"/>
    <w:rsid w:val="26641EEF"/>
    <w:rsid w:val="27264BDA"/>
    <w:rsid w:val="2769195B"/>
    <w:rsid w:val="27FB7B63"/>
    <w:rsid w:val="288E0F4E"/>
    <w:rsid w:val="28AC70FB"/>
    <w:rsid w:val="29F2313B"/>
    <w:rsid w:val="2A944F41"/>
    <w:rsid w:val="2ABD14C3"/>
    <w:rsid w:val="2AD20F52"/>
    <w:rsid w:val="2ADE7383"/>
    <w:rsid w:val="2B550078"/>
    <w:rsid w:val="2B8F88F5"/>
    <w:rsid w:val="2BC2313D"/>
    <w:rsid w:val="2C526E62"/>
    <w:rsid w:val="2CDF3890"/>
    <w:rsid w:val="2E132621"/>
    <w:rsid w:val="2E886F0C"/>
    <w:rsid w:val="2E9E3A98"/>
    <w:rsid w:val="2ECD0A22"/>
    <w:rsid w:val="2ED3B4BE"/>
    <w:rsid w:val="2F631C4A"/>
    <w:rsid w:val="2F84341B"/>
    <w:rsid w:val="2FE204FD"/>
    <w:rsid w:val="30466AC6"/>
    <w:rsid w:val="31117E98"/>
    <w:rsid w:val="31316B1D"/>
    <w:rsid w:val="32340DB8"/>
    <w:rsid w:val="324D170A"/>
    <w:rsid w:val="325A2EC1"/>
    <w:rsid w:val="331A1D5C"/>
    <w:rsid w:val="3328091C"/>
    <w:rsid w:val="339F0A2B"/>
    <w:rsid w:val="33FF6896"/>
    <w:rsid w:val="342A4CB4"/>
    <w:rsid w:val="345E211C"/>
    <w:rsid w:val="34806536"/>
    <w:rsid w:val="35DC53DC"/>
    <w:rsid w:val="35DD696D"/>
    <w:rsid w:val="36AD4DF2"/>
    <w:rsid w:val="37103BA1"/>
    <w:rsid w:val="37783760"/>
    <w:rsid w:val="38663A0A"/>
    <w:rsid w:val="386C5AF9"/>
    <w:rsid w:val="38B836B0"/>
    <w:rsid w:val="38C10456"/>
    <w:rsid w:val="38FE3BA8"/>
    <w:rsid w:val="395E5C2A"/>
    <w:rsid w:val="39EE73B0"/>
    <w:rsid w:val="3A15327D"/>
    <w:rsid w:val="3A2D05C6"/>
    <w:rsid w:val="3A50783A"/>
    <w:rsid w:val="3AD9313D"/>
    <w:rsid w:val="3BC8360E"/>
    <w:rsid w:val="3BD038FF"/>
    <w:rsid w:val="3BE473AB"/>
    <w:rsid w:val="3BEF103C"/>
    <w:rsid w:val="3C3753E4"/>
    <w:rsid w:val="3C4A41BB"/>
    <w:rsid w:val="3C5C5193"/>
    <w:rsid w:val="3CCD2D42"/>
    <w:rsid w:val="3CD019F9"/>
    <w:rsid w:val="3CFB2C9B"/>
    <w:rsid w:val="3D185CB7"/>
    <w:rsid w:val="3D62404C"/>
    <w:rsid w:val="3DE10046"/>
    <w:rsid w:val="3E6E72FA"/>
    <w:rsid w:val="3EA3354D"/>
    <w:rsid w:val="3EF205D6"/>
    <w:rsid w:val="3F721F53"/>
    <w:rsid w:val="3F872826"/>
    <w:rsid w:val="3FAF3562"/>
    <w:rsid w:val="3FC25C55"/>
    <w:rsid w:val="3FD17C46"/>
    <w:rsid w:val="400C371F"/>
    <w:rsid w:val="409A272E"/>
    <w:rsid w:val="40E1210B"/>
    <w:rsid w:val="41114CFE"/>
    <w:rsid w:val="41441CFE"/>
    <w:rsid w:val="422D1B11"/>
    <w:rsid w:val="424963E8"/>
    <w:rsid w:val="42B51345"/>
    <w:rsid w:val="42E10E04"/>
    <w:rsid w:val="438576C5"/>
    <w:rsid w:val="43B6162D"/>
    <w:rsid w:val="43DE68FB"/>
    <w:rsid w:val="443768B9"/>
    <w:rsid w:val="44627BB5"/>
    <w:rsid w:val="451A5941"/>
    <w:rsid w:val="4686344B"/>
    <w:rsid w:val="46C6427C"/>
    <w:rsid w:val="46CB01A4"/>
    <w:rsid w:val="46DA3884"/>
    <w:rsid w:val="46F04E55"/>
    <w:rsid w:val="46F241AA"/>
    <w:rsid w:val="46FD0A92"/>
    <w:rsid w:val="47372A84"/>
    <w:rsid w:val="47724836"/>
    <w:rsid w:val="47B15BEA"/>
    <w:rsid w:val="47BE4F54"/>
    <w:rsid w:val="47D601E1"/>
    <w:rsid w:val="49BC40DE"/>
    <w:rsid w:val="4A804742"/>
    <w:rsid w:val="4AD8632C"/>
    <w:rsid w:val="4B1353AC"/>
    <w:rsid w:val="4B4C738C"/>
    <w:rsid w:val="4BC06D58"/>
    <w:rsid w:val="4BC36FDC"/>
    <w:rsid w:val="4C520360"/>
    <w:rsid w:val="4C787B3B"/>
    <w:rsid w:val="4D897DB2"/>
    <w:rsid w:val="4E114B08"/>
    <w:rsid w:val="4E6600F3"/>
    <w:rsid w:val="4E663CF1"/>
    <w:rsid w:val="4F3B6941"/>
    <w:rsid w:val="4F9E5A27"/>
    <w:rsid w:val="4FBE39FA"/>
    <w:rsid w:val="50324731"/>
    <w:rsid w:val="5055041F"/>
    <w:rsid w:val="51B85A4E"/>
    <w:rsid w:val="524E3378"/>
    <w:rsid w:val="524F1D77"/>
    <w:rsid w:val="529945F3"/>
    <w:rsid w:val="53433B89"/>
    <w:rsid w:val="53917539"/>
    <w:rsid w:val="54071A30"/>
    <w:rsid w:val="541C7EC3"/>
    <w:rsid w:val="54372316"/>
    <w:rsid w:val="54907C78"/>
    <w:rsid w:val="5537365B"/>
    <w:rsid w:val="553C0728"/>
    <w:rsid w:val="55FB55C5"/>
    <w:rsid w:val="56440D1A"/>
    <w:rsid w:val="564F1C59"/>
    <w:rsid w:val="56535531"/>
    <w:rsid w:val="57EFD0B6"/>
    <w:rsid w:val="57F30C49"/>
    <w:rsid w:val="58660DFC"/>
    <w:rsid w:val="58CF5213"/>
    <w:rsid w:val="59945B14"/>
    <w:rsid w:val="5A486F3D"/>
    <w:rsid w:val="5A5654C0"/>
    <w:rsid w:val="5A7476F4"/>
    <w:rsid w:val="5A920C61"/>
    <w:rsid w:val="5AE910B4"/>
    <w:rsid w:val="5B1F5FA6"/>
    <w:rsid w:val="5B6030B8"/>
    <w:rsid w:val="5B9242D5"/>
    <w:rsid w:val="5BA84433"/>
    <w:rsid w:val="5BC409BA"/>
    <w:rsid w:val="5C3D5550"/>
    <w:rsid w:val="5C6A5252"/>
    <w:rsid w:val="5C6C0FCA"/>
    <w:rsid w:val="5D5C4B9B"/>
    <w:rsid w:val="5D630B51"/>
    <w:rsid w:val="5DA31648"/>
    <w:rsid w:val="5DA64068"/>
    <w:rsid w:val="5DD706C5"/>
    <w:rsid w:val="5E2D3EBC"/>
    <w:rsid w:val="5E74731D"/>
    <w:rsid w:val="5E91415D"/>
    <w:rsid w:val="5F49157A"/>
    <w:rsid w:val="5FCF8232"/>
    <w:rsid w:val="602C2F4B"/>
    <w:rsid w:val="603B4F3C"/>
    <w:rsid w:val="60997EB4"/>
    <w:rsid w:val="60BE1F10"/>
    <w:rsid w:val="60C7514F"/>
    <w:rsid w:val="60CA384F"/>
    <w:rsid w:val="60FC0763"/>
    <w:rsid w:val="6147282E"/>
    <w:rsid w:val="617F354E"/>
    <w:rsid w:val="6192502F"/>
    <w:rsid w:val="621466DA"/>
    <w:rsid w:val="62A25137"/>
    <w:rsid w:val="632919C3"/>
    <w:rsid w:val="63563D89"/>
    <w:rsid w:val="63FF151B"/>
    <w:rsid w:val="64065861"/>
    <w:rsid w:val="642316EB"/>
    <w:rsid w:val="64FF3F80"/>
    <w:rsid w:val="6562078F"/>
    <w:rsid w:val="65B81B71"/>
    <w:rsid w:val="65E73470"/>
    <w:rsid w:val="65F769C9"/>
    <w:rsid w:val="66763171"/>
    <w:rsid w:val="669E7FD2"/>
    <w:rsid w:val="670C13E0"/>
    <w:rsid w:val="674B5B5A"/>
    <w:rsid w:val="67897F92"/>
    <w:rsid w:val="678F3DBF"/>
    <w:rsid w:val="687C2595"/>
    <w:rsid w:val="68DA0494"/>
    <w:rsid w:val="68FC5484"/>
    <w:rsid w:val="691C0CF6"/>
    <w:rsid w:val="694F7CAA"/>
    <w:rsid w:val="69E40CF8"/>
    <w:rsid w:val="6A146EAE"/>
    <w:rsid w:val="6A7410BD"/>
    <w:rsid w:val="6AA44606"/>
    <w:rsid w:val="6B851761"/>
    <w:rsid w:val="6BF3491C"/>
    <w:rsid w:val="6C1F6789"/>
    <w:rsid w:val="6CA65E33"/>
    <w:rsid w:val="6CB10773"/>
    <w:rsid w:val="6D323B6A"/>
    <w:rsid w:val="6D9E7208"/>
    <w:rsid w:val="6DC02F4D"/>
    <w:rsid w:val="6DC347C2"/>
    <w:rsid w:val="6DEF3809"/>
    <w:rsid w:val="6EA6036C"/>
    <w:rsid w:val="6EC8494C"/>
    <w:rsid w:val="6FA4272F"/>
    <w:rsid w:val="6FBF7B26"/>
    <w:rsid w:val="6FCE4F8D"/>
    <w:rsid w:val="6FCFA112"/>
    <w:rsid w:val="70264013"/>
    <w:rsid w:val="702C664F"/>
    <w:rsid w:val="706667A8"/>
    <w:rsid w:val="707E2C99"/>
    <w:rsid w:val="716E26DA"/>
    <w:rsid w:val="71F25676"/>
    <w:rsid w:val="720117E4"/>
    <w:rsid w:val="7218332F"/>
    <w:rsid w:val="7278765C"/>
    <w:rsid w:val="73107E21"/>
    <w:rsid w:val="743E4BA3"/>
    <w:rsid w:val="7451463C"/>
    <w:rsid w:val="747E452E"/>
    <w:rsid w:val="749E64F5"/>
    <w:rsid w:val="74AA2238"/>
    <w:rsid w:val="750E70AC"/>
    <w:rsid w:val="75334907"/>
    <w:rsid w:val="759B4743"/>
    <w:rsid w:val="75F23E97"/>
    <w:rsid w:val="75F96FD3"/>
    <w:rsid w:val="75FE45EA"/>
    <w:rsid w:val="76041198"/>
    <w:rsid w:val="76326989"/>
    <w:rsid w:val="76485E0B"/>
    <w:rsid w:val="76571F4C"/>
    <w:rsid w:val="76E42B12"/>
    <w:rsid w:val="76E60640"/>
    <w:rsid w:val="76F9714D"/>
    <w:rsid w:val="77384726"/>
    <w:rsid w:val="77AF723B"/>
    <w:rsid w:val="77EF1771"/>
    <w:rsid w:val="784529A4"/>
    <w:rsid w:val="785B5D23"/>
    <w:rsid w:val="78B4392C"/>
    <w:rsid w:val="7997722F"/>
    <w:rsid w:val="79D57D57"/>
    <w:rsid w:val="7A4647B1"/>
    <w:rsid w:val="7A6D44DC"/>
    <w:rsid w:val="7AEC437A"/>
    <w:rsid w:val="7B2E771F"/>
    <w:rsid w:val="7B30793B"/>
    <w:rsid w:val="7B3B3F00"/>
    <w:rsid w:val="7B9B28DB"/>
    <w:rsid w:val="7C577218"/>
    <w:rsid w:val="7C7F26B3"/>
    <w:rsid w:val="7D917F81"/>
    <w:rsid w:val="7E237610"/>
    <w:rsid w:val="7EDD44DA"/>
    <w:rsid w:val="7FA53D28"/>
    <w:rsid w:val="7FB65F35"/>
    <w:rsid w:val="7FBB07B8"/>
    <w:rsid w:val="7FECBE9A"/>
    <w:rsid w:val="7FED6F7F"/>
    <w:rsid w:val="7FEE6B98"/>
    <w:rsid w:val="7FFF9E3F"/>
    <w:rsid w:val="853E4EBB"/>
    <w:rsid w:val="8D56B604"/>
    <w:rsid w:val="9AEF254F"/>
    <w:rsid w:val="BB7FD3C3"/>
    <w:rsid w:val="BEFF3447"/>
    <w:rsid w:val="BFBD831B"/>
    <w:rsid w:val="BFF905CB"/>
    <w:rsid w:val="C7FA4E38"/>
    <w:rsid w:val="CEFD6436"/>
    <w:rsid w:val="CFFF3654"/>
    <w:rsid w:val="D5571249"/>
    <w:rsid w:val="DBFCCABE"/>
    <w:rsid w:val="E73FC96C"/>
    <w:rsid w:val="E7FF9541"/>
    <w:rsid w:val="EDCFC57A"/>
    <w:rsid w:val="F4EF36D3"/>
    <w:rsid w:val="F5ED1E08"/>
    <w:rsid w:val="F76B25A9"/>
    <w:rsid w:val="F7F7AE49"/>
    <w:rsid w:val="F95FF935"/>
    <w:rsid w:val="F9BFA4AE"/>
    <w:rsid w:val="F9FF421E"/>
    <w:rsid w:val="FA5FE82F"/>
    <w:rsid w:val="FB2B9EDE"/>
    <w:rsid w:val="FBFD87AD"/>
    <w:rsid w:val="FE58E38E"/>
    <w:rsid w:val="FEBDF4BC"/>
    <w:rsid w:val="FF6E3F82"/>
    <w:rsid w:val="FF7F50C3"/>
    <w:rsid w:val="FF8DDB14"/>
    <w:rsid w:val="FF9F4D33"/>
    <w:rsid w:val="FFA904CC"/>
    <w:rsid w:val="FFCBF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3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3"/>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4"/>
    <w:semiHidden/>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1"/>
    <w:unhideWhenUsed/>
    <w:qFormat/>
    <w:uiPriority w:val="9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3"/>
    <w:unhideWhenUsed/>
    <w:qFormat/>
    <w:uiPriority w:val="0"/>
    <w:pPr>
      <w:jc w:val="left"/>
    </w:pPr>
  </w:style>
  <w:style w:type="paragraph" w:styleId="12">
    <w:name w:val="Body Text"/>
    <w:basedOn w:val="1"/>
    <w:next w:val="1"/>
    <w:qFormat/>
    <w:uiPriority w:val="0"/>
    <w:pPr>
      <w:spacing w:after="120"/>
    </w:pPr>
  </w:style>
  <w:style w:type="paragraph" w:styleId="13">
    <w:name w:val="toc 3"/>
    <w:basedOn w:val="1"/>
    <w:next w:val="1"/>
    <w:unhideWhenUsed/>
    <w:qFormat/>
    <w:uiPriority w:val="39"/>
    <w:pPr>
      <w:ind w:left="840" w:leftChars="400"/>
    </w:pPr>
  </w:style>
  <w:style w:type="paragraph" w:styleId="14">
    <w:name w:val="Balloon Text"/>
    <w:basedOn w:val="1"/>
    <w:link w:val="57"/>
    <w:unhideWhenUsed/>
    <w:qFormat/>
    <w:uiPriority w:val="0"/>
    <w:pPr>
      <w:spacing w:after="0" w:line="240" w:lineRule="auto"/>
    </w:pPr>
    <w:rPr>
      <w:sz w:val="18"/>
      <w:szCs w:val="18"/>
    </w:rPr>
  </w:style>
  <w:style w:type="paragraph" w:styleId="15">
    <w:name w:val="footer"/>
    <w:basedOn w:val="1"/>
    <w:link w:val="50"/>
    <w:unhideWhenUsed/>
    <w:qFormat/>
    <w:uiPriority w:val="99"/>
    <w:pPr>
      <w:tabs>
        <w:tab w:val="center" w:pos="4153"/>
        <w:tab w:val="right" w:pos="8306"/>
      </w:tabs>
      <w:snapToGrid w:val="0"/>
      <w:jc w:val="left"/>
    </w:pPr>
    <w:rPr>
      <w:sz w:val="18"/>
      <w:szCs w:val="18"/>
    </w:rPr>
  </w:style>
  <w:style w:type="paragraph" w:styleId="16">
    <w:name w:val="header"/>
    <w:basedOn w:val="1"/>
    <w:link w:val="49"/>
    <w:unhideWhenUsed/>
    <w:qFormat/>
    <w:uiPriority w:val="99"/>
    <w:pP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Subtitle"/>
    <w:basedOn w:val="1"/>
    <w:next w:val="1"/>
    <w:link w:val="4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footnote text"/>
    <w:link w:val="61"/>
    <w:qFormat/>
    <w:uiPriority w:val="0"/>
    <w:pPr>
      <w:snapToGrid w:val="0"/>
      <w:spacing w:line="360" w:lineRule="auto"/>
      <w:ind w:firstLine="480" w:firstLineChars="200"/>
    </w:pPr>
    <w:rPr>
      <w:rFonts w:ascii="Times New Roman" w:hAnsi="Times New Roman" w:eastAsia="宋体" w:cs="Times New Roman"/>
      <w:kern w:val="2"/>
      <w:sz w:val="18"/>
      <w:szCs w:val="18"/>
      <w:u w:color="000000"/>
      <w:lang w:val="en-US" w:eastAsia="zh-CN" w:bidi="ar-SA"/>
    </w:rPr>
  </w:style>
  <w:style w:type="paragraph" w:styleId="20">
    <w:name w:val="toc 2"/>
    <w:basedOn w:val="1"/>
    <w:next w:val="1"/>
    <w:qFormat/>
    <w:uiPriority w:val="39"/>
    <w:pPr>
      <w:ind w:left="420" w:leftChars="200"/>
    </w:pPr>
  </w:style>
  <w:style w:type="paragraph" w:styleId="21">
    <w:name w:val="Normal (Web)"/>
    <w:basedOn w:val="1"/>
    <w:qFormat/>
    <w:uiPriority w:val="0"/>
    <w:pPr>
      <w:widowControl/>
      <w:spacing w:beforeAutospacing="1" w:after="0" w:afterAutospacing="1" w:line="360" w:lineRule="auto"/>
      <w:ind w:firstLine="480" w:firstLineChars="200"/>
      <w:jc w:val="left"/>
    </w:pPr>
    <w:rPr>
      <w:rFonts w:ascii="Times New Roman" w:hAnsi="Times New Roman" w:eastAsia="宋体" w:cs="Times New Roman"/>
      <w:kern w:val="0"/>
      <w:sz w:val="24"/>
      <w:szCs w:val="24"/>
      <w:u w:color="000000"/>
      <w14:ligatures w14:val="none"/>
    </w:rPr>
  </w:style>
  <w:style w:type="paragraph" w:styleId="22">
    <w:name w:val="Title"/>
    <w:basedOn w:val="1"/>
    <w:next w:val="1"/>
    <w:link w:val="4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3">
    <w:name w:val="annotation subject"/>
    <w:basedOn w:val="11"/>
    <w:next w:val="11"/>
    <w:link w:val="54"/>
    <w:semiHidden/>
    <w:unhideWhenUsed/>
    <w:qFormat/>
    <w:uiPriority w:val="99"/>
    <w:rPr>
      <w:b/>
      <w:bCs/>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styleId="30">
    <w:name w:val="footnote reference"/>
    <w:qFormat/>
    <w:uiPriority w:val="0"/>
    <w:rPr>
      <w:vertAlign w:val="superscript"/>
    </w:rPr>
  </w:style>
  <w:style w:type="character" w:customStyle="1" w:styleId="31">
    <w:name w:val="标题 4 Char"/>
    <w:basedOn w:val="26"/>
    <w:link w:val="5"/>
    <w:semiHidden/>
    <w:qFormat/>
    <w:uiPriority w:val="9"/>
    <w:rPr>
      <w:rFonts w:cstheme="majorBidi"/>
      <w:color w:val="2F5597" w:themeColor="accent1" w:themeShade="BF"/>
      <w:sz w:val="28"/>
      <w:szCs w:val="28"/>
    </w:rPr>
  </w:style>
  <w:style w:type="character" w:customStyle="1" w:styleId="32">
    <w:name w:val="标题 1 Char"/>
    <w:basedOn w:val="26"/>
    <w:link w:val="2"/>
    <w:qFormat/>
    <w:uiPriority w:val="9"/>
    <w:rPr>
      <w:rFonts w:asciiTheme="majorHAnsi" w:hAnsiTheme="majorHAnsi" w:eastAsiaTheme="majorEastAsia" w:cstheme="majorBidi"/>
      <w:color w:val="2F5597" w:themeColor="accent1" w:themeShade="BF"/>
      <w:sz w:val="48"/>
      <w:szCs w:val="48"/>
    </w:rPr>
  </w:style>
  <w:style w:type="character" w:customStyle="1" w:styleId="33">
    <w:name w:val="标题 2 Char"/>
    <w:basedOn w:val="2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34">
    <w:name w:val="标题 3 Char"/>
    <w:basedOn w:val="2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5">
    <w:name w:val="标题 5 Char"/>
    <w:basedOn w:val="26"/>
    <w:link w:val="6"/>
    <w:semiHidden/>
    <w:qFormat/>
    <w:uiPriority w:val="9"/>
    <w:rPr>
      <w:rFonts w:cstheme="majorBidi"/>
      <w:color w:val="2F5597" w:themeColor="accent1" w:themeShade="BF"/>
      <w:sz w:val="24"/>
      <w:szCs w:val="24"/>
    </w:rPr>
  </w:style>
  <w:style w:type="character" w:customStyle="1" w:styleId="36">
    <w:name w:val="标题 6 Char"/>
    <w:basedOn w:val="26"/>
    <w:link w:val="7"/>
    <w:semiHidden/>
    <w:qFormat/>
    <w:uiPriority w:val="9"/>
    <w:rPr>
      <w:rFonts w:cstheme="majorBidi"/>
      <w:b/>
      <w:bCs/>
      <w:color w:val="2F5597" w:themeColor="accent1" w:themeShade="BF"/>
    </w:rPr>
  </w:style>
  <w:style w:type="character" w:customStyle="1" w:styleId="37">
    <w:name w:val="标题 7 Char"/>
    <w:basedOn w:val="2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8">
    <w:name w:val="标题 8 Char"/>
    <w:basedOn w:val="2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9">
    <w:name w:val="标题 9 Char"/>
    <w:basedOn w:val="2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Char"/>
    <w:basedOn w:val="26"/>
    <w:link w:val="22"/>
    <w:qFormat/>
    <w:uiPriority w:val="10"/>
    <w:rPr>
      <w:rFonts w:asciiTheme="majorHAnsi" w:hAnsiTheme="majorHAnsi" w:eastAsiaTheme="majorEastAsia" w:cstheme="majorBidi"/>
      <w:spacing w:val="-10"/>
      <w:kern w:val="28"/>
      <w:sz w:val="56"/>
      <w:szCs w:val="56"/>
    </w:rPr>
  </w:style>
  <w:style w:type="character" w:customStyle="1" w:styleId="41">
    <w:name w:val="副标题 Char"/>
    <w:basedOn w:val="26"/>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Char"/>
    <w:basedOn w:val="26"/>
    <w:link w:val="42"/>
    <w:qFormat/>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qFormat/>
    <w:uiPriority w:val="34"/>
    <w:pPr>
      <w:ind w:left="720"/>
      <w:contextualSpacing/>
    </w:pPr>
  </w:style>
  <w:style w:type="character" w:customStyle="1" w:styleId="45">
    <w:name w:val="明显强调1"/>
    <w:basedOn w:val="26"/>
    <w:qFormat/>
    <w:uiPriority w:val="21"/>
    <w:rPr>
      <w:i/>
      <w:iCs/>
      <w:color w:val="2F5597" w:themeColor="accent1" w:themeShade="BF"/>
    </w:rPr>
  </w:style>
  <w:style w:type="paragraph" w:styleId="46">
    <w:name w:val="Intense Quote"/>
    <w:basedOn w:val="1"/>
    <w:next w:val="1"/>
    <w:link w:val="4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7">
    <w:name w:val="明显引用 Char"/>
    <w:basedOn w:val="26"/>
    <w:link w:val="46"/>
    <w:qFormat/>
    <w:uiPriority w:val="30"/>
    <w:rPr>
      <w:i/>
      <w:iCs/>
      <w:color w:val="2F5597" w:themeColor="accent1" w:themeShade="BF"/>
    </w:rPr>
  </w:style>
  <w:style w:type="character" w:customStyle="1" w:styleId="48">
    <w:name w:val="明显参考1"/>
    <w:basedOn w:val="26"/>
    <w:qFormat/>
    <w:uiPriority w:val="32"/>
    <w:rPr>
      <w:b/>
      <w:bCs/>
      <w:smallCaps/>
      <w:color w:val="2F5597" w:themeColor="accent1" w:themeShade="BF"/>
      <w:spacing w:val="5"/>
    </w:rPr>
  </w:style>
  <w:style w:type="character" w:customStyle="1" w:styleId="49">
    <w:name w:val="页眉 Char"/>
    <w:basedOn w:val="26"/>
    <w:link w:val="16"/>
    <w:qFormat/>
    <w:uiPriority w:val="99"/>
    <w:rPr>
      <w:sz w:val="18"/>
      <w:szCs w:val="18"/>
    </w:rPr>
  </w:style>
  <w:style w:type="character" w:customStyle="1" w:styleId="50">
    <w:name w:val="页脚 Char"/>
    <w:basedOn w:val="26"/>
    <w:link w:val="15"/>
    <w:qFormat/>
    <w:uiPriority w:val="99"/>
    <w:rPr>
      <w:sz w:val="18"/>
      <w:szCs w:val="18"/>
    </w:rPr>
  </w:style>
  <w:style w:type="paragraph" w:customStyle="1" w:styleId="51">
    <w:name w:val="主体文字"/>
    <w:basedOn w:val="1"/>
    <w:qFormat/>
    <w:uiPriority w:val="0"/>
    <w:pPr>
      <w:tabs>
        <w:tab w:val="left" w:pos="5823"/>
      </w:tabs>
      <w:spacing w:after="0" w:line="360" w:lineRule="auto"/>
      <w:ind w:firstLine="420" w:firstLineChars="200"/>
    </w:pPr>
    <w:rPr>
      <w:rFonts w:ascii="Times New Roman" w:hAnsi="Times New Roman"/>
      <w:szCs w:val="24"/>
    </w:rPr>
  </w:style>
  <w:style w:type="paragraph" w:customStyle="1" w:styleId="52">
    <w:name w:val="BodyText"/>
    <w:qFormat/>
    <w:uiPriority w:val="0"/>
    <w:pPr>
      <w:spacing w:after="120" w:line="278" w:lineRule="auto"/>
      <w:jc w:val="both"/>
      <w:textAlignment w:val="baseline"/>
    </w:pPr>
    <w:rPr>
      <w:rFonts w:ascii="Calibri" w:hAnsi="Calibri" w:eastAsia="宋体" w:cs="Times New Roman"/>
      <w:kern w:val="2"/>
      <w:sz w:val="21"/>
      <w:szCs w:val="24"/>
      <w:lang w:val="en-US" w:eastAsia="zh-CN" w:bidi="ar-SA"/>
    </w:rPr>
  </w:style>
  <w:style w:type="character" w:customStyle="1" w:styleId="53">
    <w:name w:val="批注文字 Char"/>
    <w:basedOn w:val="26"/>
    <w:link w:val="11"/>
    <w:semiHidden/>
    <w:qFormat/>
    <w:uiPriority w:val="99"/>
    <w:rPr>
      <w:rFonts w:asciiTheme="minorHAnsi" w:hAnsiTheme="minorHAnsi" w:eastAsiaTheme="minorEastAsia" w:cstheme="minorBidi"/>
      <w:kern w:val="2"/>
      <w:sz w:val="21"/>
      <w:szCs w:val="22"/>
      <w14:ligatures w14:val="standardContextual"/>
    </w:rPr>
  </w:style>
  <w:style w:type="character" w:customStyle="1" w:styleId="54">
    <w:name w:val="批注主题 Char"/>
    <w:basedOn w:val="53"/>
    <w:link w:val="23"/>
    <w:semiHidden/>
    <w:qFormat/>
    <w:uiPriority w:val="99"/>
    <w:rPr>
      <w:rFonts w:asciiTheme="minorHAnsi" w:hAnsiTheme="minorHAnsi" w:eastAsiaTheme="minorEastAsia" w:cstheme="minorBidi"/>
      <w:b/>
      <w:bCs/>
      <w:kern w:val="2"/>
      <w:sz w:val="21"/>
      <w:szCs w:val="22"/>
      <w14:ligatures w14:val="standardContextual"/>
    </w:rPr>
  </w:style>
  <w:style w:type="paragraph" w:customStyle="1" w:styleId="55">
    <w:name w:val="0-表格"/>
    <w:qFormat/>
    <w:uiPriority w:val="0"/>
    <w:pPr>
      <w:spacing w:line="260" w:lineRule="exact"/>
      <w:jc w:val="center"/>
    </w:pPr>
    <w:rPr>
      <w:rFonts w:ascii="Times New Roman" w:hAnsi="Times New Roman" w:eastAsia="仿宋" w:cs="Times New Roman"/>
      <w:kern w:val="2"/>
      <w:sz w:val="24"/>
      <w:szCs w:val="21"/>
      <w:lang w:val="en-US" w:eastAsia="zh-CN" w:bidi="ar-SA"/>
    </w:rPr>
  </w:style>
  <w:style w:type="paragraph" w:customStyle="1" w:styleId="56">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57">
    <w:name w:val="批注框文本 Char"/>
    <w:basedOn w:val="26"/>
    <w:link w:val="14"/>
    <w:qFormat/>
    <w:uiPriority w:val="0"/>
    <w:rPr>
      <w:rFonts w:asciiTheme="minorHAnsi" w:hAnsiTheme="minorHAnsi" w:eastAsiaTheme="minorEastAsia" w:cstheme="minorBidi"/>
      <w:kern w:val="2"/>
      <w:sz w:val="18"/>
      <w:szCs w:val="18"/>
      <w14:ligatures w14:val="standardContextual"/>
    </w:rPr>
  </w:style>
  <w:style w:type="paragraph" w:customStyle="1" w:styleId="58">
    <w:name w:val="报告图表"/>
    <w:basedOn w:val="51"/>
    <w:qFormat/>
    <w:uiPriority w:val="0"/>
    <w:pPr>
      <w:widowControl/>
      <w:tabs>
        <w:tab w:val="clear" w:pos="5823"/>
      </w:tabs>
      <w:spacing w:before="40" w:after="40"/>
      <w:ind w:firstLine="0" w:firstLineChars="0"/>
      <w:jc w:val="center"/>
    </w:pPr>
    <w:rPr>
      <w:rFonts w:ascii="黑体" w:hAnsi="黑体" w:eastAsia="黑体" w:cs="Times New Roman"/>
      <w:b/>
      <w:kern w:val="0"/>
      <w:sz w:val="24"/>
      <w:u w:color="000000"/>
      <w14:ligatures w14:val="none"/>
    </w:rPr>
  </w:style>
  <w:style w:type="paragraph" w:customStyle="1" w:styleId="59">
    <w:name w:val="表格文字"/>
    <w:qFormat/>
    <w:uiPriority w:val="0"/>
    <w:pPr>
      <w:spacing w:line="300" w:lineRule="exact"/>
    </w:pPr>
    <w:rPr>
      <w:rFonts w:ascii="Times New Roman" w:hAnsi="Times New Roman" w:eastAsia="方正仿宋_GBK" w:cstheme="minorBidi"/>
      <w:kern w:val="2"/>
      <w:sz w:val="24"/>
      <w:szCs w:val="22"/>
      <w:lang w:val="en-US" w:eastAsia="zh-CN" w:bidi="ar-SA"/>
    </w:rPr>
  </w:style>
  <w:style w:type="character" w:customStyle="1" w:styleId="60">
    <w:name w:val="font91"/>
    <w:basedOn w:val="26"/>
    <w:qFormat/>
    <w:uiPriority w:val="0"/>
    <w:rPr>
      <w:rFonts w:hint="eastAsia" w:ascii="宋体" w:hAnsi="宋体" w:eastAsia="宋体" w:cs="宋体"/>
      <w:color w:val="000000"/>
      <w:sz w:val="24"/>
      <w:szCs w:val="24"/>
      <w:u w:val="none"/>
    </w:rPr>
  </w:style>
  <w:style w:type="character" w:customStyle="1" w:styleId="61">
    <w:name w:val="脚注文本 Char"/>
    <w:basedOn w:val="26"/>
    <w:link w:val="19"/>
    <w:qFormat/>
    <w:uiPriority w:val="0"/>
    <w:rPr>
      <w:kern w:val="2"/>
      <w:sz w:val="18"/>
      <w:szCs w:val="18"/>
      <w:u w:color="000000"/>
    </w:rPr>
  </w:style>
  <w:style w:type="paragraph" w:customStyle="1" w:styleId="62">
    <w:name w:val="文字主体"/>
    <w:link w:val="71"/>
    <w:qFormat/>
    <w:uiPriority w:val="0"/>
    <w:pPr>
      <w:spacing w:line="360" w:lineRule="auto"/>
      <w:ind w:firstLine="480" w:firstLineChars="200"/>
    </w:pPr>
    <w:rPr>
      <w:rFonts w:ascii="宋体" w:hAnsi="宋体" w:eastAsia="宋体" w:cs="Times New Roman"/>
      <w:kern w:val="2"/>
      <w:sz w:val="24"/>
      <w:szCs w:val="21"/>
      <w:lang w:val="en-US" w:eastAsia="zh-CN" w:bidi="ar-SA"/>
    </w:rPr>
  </w:style>
  <w:style w:type="paragraph" w:customStyle="1" w:styleId="63">
    <w:name w:val="ew封面主标题"/>
    <w:basedOn w:val="1"/>
    <w:next w:val="1"/>
    <w:qFormat/>
    <w:uiPriority w:val="99"/>
    <w:pPr>
      <w:widowControl/>
      <w:spacing w:after="0" w:line="240" w:lineRule="auto"/>
      <w:jc w:val="center"/>
    </w:pPr>
    <w:rPr>
      <w:rFonts w:ascii="Times New Roman" w:hAnsi="Times New Roman" w:eastAsia="黑体" w:cs="Times New Roman"/>
      <w:sz w:val="60"/>
      <w:szCs w:val="24"/>
      <w:u w:color="000000"/>
      <w14:ligatures w14:val="none"/>
    </w:rPr>
  </w:style>
  <w:style w:type="paragraph" w:customStyle="1" w:styleId="64">
    <w:name w:val="ew封面地址"/>
    <w:basedOn w:val="1"/>
    <w:next w:val="1"/>
    <w:qFormat/>
    <w:uiPriority w:val="0"/>
    <w:pPr>
      <w:widowControl/>
      <w:spacing w:after="0" w:line="240" w:lineRule="auto"/>
      <w:jc w:val="center"/>
    </w:pPr>
    <w:rPr>
      <w:rFonts w:ascii="Times New Roman" w:hAnsi="Times New Roman" w:eastAsia="隶书" w:cs="Times New Roman"/>
      <w:sz w:val="32"/>
      <w:szCs w:val="24"/>
      <w:u w:color="000000"/>
      <w14:ligatures w14:val="none"/>
    </w:rPr>
  </w:style>
  <w:style w:type="paragraph" w:customStyle="1" w:styleId="65">
    <w:name w:val="报告1级标题"/>
    <w:basedOn w:val="2"/>
    <w:qFormat/>
    <w:uiPriority w:val="0"/>
    <w:pPr>
      <w:keepNext w:val="0"/>
      <w:keepLines w:val="0"/>
      <w:spacing w:before="50" w:beforeLines="50" w:after="50" w:afterLines="50" w:line="360" w:lineRule="auto"/>
      <w:ind w:firstLine="200" w:firstLineChars="200"/>
      <w:jc w:val="left"/>
    </w:pPr>
    <w:rPr>
      <w:rFonts w:ascii="Times New Roman" w:hAnsi="Times New Roman" w:eastAsia="黑体" w:cs="Times New Roman"/>
      <w:bCs/>
      <w:color w:val="000000"/>
      <w:sz w:val="32"/>
      <w:szCs w:val="44"/>
      <w:u w:color="000000"/>
      <w14:ligatures w14:val="none"/>
    </w:rPr>
  </w:style>
  <w:style w:type="paragraph" w:customStyle="1" w:styleId="66">
    <w:name w:val="报告2级标题"/>
    <w:basedOn w:val="3"/>
    <w:qFormat/>
    <w:uiPriority w:val="0"/>
    <w:pPr>
      <w:keepNext w:val="0"/>
      <w:keepLines w:val="0"/>
      <w:spacing w:before="50" w:beforeLines="50" w:after="50" w:afterLines="50" w:line="360" w:lineRule="auto"/>
      <w:ind w:firstLine="200" w:firstLineChars="200"/>
      <w:jc w:val="left"/>
    </w:pPr>
    <w:rPr>
      <w:rFonts w:ascii="Times New Roman" w:hAnsi="Times New Roman" w:eastAsia="黑体" w:cs="Times New Roman"/>
      <w:bCs/>
      <w:color w:val="000000"/>
      <w:sz w:val="32"/>
      <w:szCs w:val="32"/>
      <w:u w:color="000000"/>
      <w14:ligatures w14:val="none"/>
    </w:rPr>
  </w:style>
  <w:style w:type="paragraph" w:customStyle="1" w:styleId="67">
    <w:name w:val="报告正文"/>
    <w:basedOn w:val="1"/>
    <w:link w:val="69"/>
    <w:qFormat/>
    <w:uiPriority w:val="0"/>
    <w:pPr>
      <w:spacing w:after="0" w:line="360" w:lineRule="auto"/>
      <w:ind w:firstLine="200" w:firstLineChars="200"/>
    </w:pPr>
    <w:rPr>
      <w:rFonts w:ascii="Times New Roman" w:hAnsi="Times New Roman" w:eastAsia="仿宋_GB2312"/>
      <w:color w:val="000000"/>
      <w:sz w:val="32"/>
      <w:szCs w:val="28"/>
      <w:u w:color="000000"/>
      <w14:ligatures w14:val="none"/>
    </w:rPr>
  </w:style>
  <w:style w:type="table" w:customStyle="1" w:styleId="68">
    <w:name w:val="网格型5"/>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报告正文 字符"/>
    <w:basedOn w:val="26"/>
    <w:link w:val="67"/>
    <w:qFormat/>
    <w:uiPriority w:val="0"/>
    <w:rPr>
      <w:rFonts w:eastAsia="仿宋_GB2312" w:cstheme="minorBidi"/>
      <w:color w:val="000000"/>
      <w:kern w:val="2"/>
      <w:sz w:val="32"/>
      <w:szCs w:val="28"/>
      <w:u w:color="000000"/>
    </w:rPr>
  </w:style>
  <w:style w:type="paragraph" w:customStyle="1" w:styleId="70">
    <w:name w:val="正文2"/>
    <w:basedOn w:val="1"/>
    <w:qFormat/>
    <w:uiPriority w:val="0"/>
    <w:pPr>
      <w:widowControl/>
      <w:spacing w:after="0" w:line="360" w:lineRule="auto"/>
      <w:ind w:firstLine="200" w:firstLineChars="200"/>
      <w:jc w:val="left"/>
    </w:pPr>
    <w:rPr>
      <w:rFonts w:ascii="Times New Roman" w:hAnsi="Times New Roman" w:eastAsia="宋体" w:cs="Times New Roman"/>
      <w:sz w:val="24"/>
      <w:szCs w:val="24"/>
      <w:u w:color="000000"/>
      <w14:ligatures w14:val="none"/>
    </w:rPr>
  </w:style>
  <w:style w:type="character" w:customStyle="1" w:styleId="71">
    <w:name w:val="文字主体 Char"/>
    <w:basedOn w:val="26"/>
    <w:link w:val="62"/>
    <w:qFormat/>
    <w:locked/>
    <w:uiPriority w:val="0"/>
    <w:rPr>
      <w:rFonts w:ascii="宋体" w:hAnsi="宋体"/>
      <w:kern w:val="2"/>
      <w:sz w:val="24"/>
      <w:szCs w:val="21"/>
    </w:rPr>
  </w:style>
  <w:style w:type="paragraph" w:customStyle="1" w:styleId="72">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73">
    <w:name w:val="修订3"/>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74">
    <w:name w:val="修订4"/>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2a65ac3d-c6a2-491b-be55-112878ed170e</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26EEB138</paraID>
      <start xmlns="http://schemas.wps.cn/vas-ai-hub/contract-review">40</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235a9ce3-f9c3-4a42-aa17-02f1395db5c0</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内可</item>
      </candidateList>
      <explain xmlns="http://schemas.wps.cn/vas-ai-hub/contract-review"/>
      <paraID xmlns="http://schemas.wps.cn/vas-ai-hub/contract-review">26EEB138</paraID>
      <start xmlns="http://schemas.wps.cn/vas-ai-hub/contract-review">78</start>
      <end xmlns="http://schemas.wps.cn/vas-ai-hub/contract-review">79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8a0e64e0-6d49-4292-8ef9-6e7b06f1475c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26EEB138</paraID>
      <start xmlns="http://schemas.wps.cn/vas-ai-hub/contract-review">177</start>
      <end xmlns="http://schemas.wps.cn/vas-ai-hub/contract-review">178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0f4b11c9-db95-4268-8113-b2699a212d7f</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26EEB138</paraID>
      <start xmlns="http://schemas.wps.cn/vas-ai-hub/contract-review">190</start>
      <end xmlns="http://schemas.wps.cn/vas-ai-hub/contract-review">191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50b7d562-9310-4161-8a4a-12eef7847783</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26EEB138</paraID>
      <start xmlns="http://schemas.wps.cn/vas-ai-hub/contract-review">203</start>
      <end xmlns="http://schemas.wps.cn/vas-ai-hub/contract-review">204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9cf3931e-14ba-4ba4-989a-e2d25e2f1a97</errorID>
      <errorWord xmlns="http://schemas.wps.cn/vas-ai-hub/contract-review">全部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所有</item>
      </candidateList>
      <explain xmlns="http://schemas.wps.cn/vas-ai-hub/contract-review"/>
      <paraID xmlns="http://schemas.wps.cn/vas-ai-hub/contract-review">26EEB138</paraID>
      <start xmlns="http://schemas.wps.cn/vas-ai-hub/contract-review">219</start>
      <end xmlns="http://schemas.wps.cn/vas-ai-hub/contract-review">221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52663bc1-3092-40f4-b00c-8f646fa349d9</errorID>
      <errorWord xmlns="http://schemas.wps.cn/vas-ai-hub/contract-review">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内上</item>
      </candidateList>
      <explain xmlns="http://schemas.wps.cn/vas-ai-hub/contract-review"/>
      <paraID xmlns="http://schemas.wps.cn/vas-ai-hub/contract-review">26EEB138</paraID>
      <start xmlns="http://schemas.wps.cn/vas-ai-hub/contract-review">231</start>
      <end xmlns="http://schemas.wps.cn/vas-ai-hub/contract-review">232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990a4be3-c47c-4cf1-b615-0b64a3024ae5</errorID>
      <errorWord xmlns="http://schemas.wps.cn/vas-ai-hub/contract-review">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内上</item>
      </candidateList>
      <explain xmlns="http://schemas.wps.cn/vas-ai-hub/contract-review"/>
      <paraID xmlns="http://schemas.wps.cn/vas-ai-hub/contract-review">26EEB138</paraID>
      <start xmlns="http://schemas.wps.cn/vas-ai-hub/contract-review">239</start>
      <end xmlns="http://schemas.wps.cn/vas-ai-hub/contract-review">240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bae7934e-700b-48a5-8d99-d8bef6cb263f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26EEB138</paraID>
      <start xmlns="http://schemas.wps.cn/vas-ai-hub/contract-review">244</start>
      <end xmlns="http://schemas.wps.cn/vas-ai-hub/contract-review">245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a34324d9-6edd-4293-9147-e64c69905f83</errorID>
      <errorWord xmlns="http://schemas.wps.cn/vas-ai-hub/contract-review">3</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三</item>
      </candidateList>
      <explain xmlns="http://schemas.wps.cn/vas-ai-hub/contract-review">“小时”与“分钟”对应的数值建议统一使用中文数字。</explain>
      <paraID xmlns="http://schemas.wps.cn/vas-ai-hub/contract-review">34280707</paraID>
      <start xmlns="http://schemas.wps.cn/vas-ai-hub/contract-review">92</start>
      <end xmlns="http://schemas.wps.cn/vas-ai-hub/contract-review">93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31466229-c74e-4d85-86b1-7f37134dbbf9</errorID>
      <errorWord xmlns="http://schemas.wps.cn/vas-ai-hub/contract-review">关键期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关键时期</item>
      </candidateList>
      <explain xmlns="http://schemas.wps.cn/vas-ai-hub/contract-review"/>
      <paraID xmlns="http://schemas.wps.cn/vas-ai-hub/contract-review">1EA836BF</paraID>
      <start xmlns="http://schemas.wps.cn/vas-ai-hub/contract-review">60</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d711f3d2-4cda-409b-8936-989fab14f393</errorID>
      <errorWord xmlns="http://schemas.wps.cn/vas-ai-hub/contract-review">加快构建新发展格局</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要加快构建新发展格局</item>
      </candidateList>
      <explain xmlns="http://schemas.wps.cn/vas-ai-hub/contract-review">此处内容疑似含有固定表述相关错误，建议核查。</explain>
      <paraID xmlns="http://schemas.wps.cn/vas-ai-hub/contract-review">1EA836BF</paraID>
      <start xmlns="http://schemas.wps.cn/vas-ai-hub/contract-review">113</start>
      <end xmlns="http://schemas.wps.cn/vas-ai-hub/contract-review">122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bdf3c2cd-d7d0-4b2c-9abc-b96ffca96105</errorID>
      <errorWord xmlns="http://schemas.wps.cn/vas-ai-hub/contract-review">阶段</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阶段。</item>
      </candidateList>
      <explain xmlns="http://schemas.wps.cn/vas-ai-hub/contract-review"/>
      <paraID xmlns="http://schemas.wps.cn/vas-ai-hub/contract-review">1EA836BF</paraID>
      <start xmlns="http://schemas.wps.cn/vas-ai-hub/contract-review">257</start>
      <end xmlns="http://schemas.wps.cn/vas-ai-hub/contract-review">259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e486ab86-2b21-4da7-874c-ddc930c1246b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1EA836BF</paraID>
      <start xmlns="http://schemas.wps.cn/vas-ai-hub/contract-review">278</start>
      <end xmlns="http://schemas.wps.cn/vas-ai-hub/contract-review">279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dce4dad7-ac80-45eb-803b-f80a1f7863c6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1EA836BF</paraID>
      <start xmlns="http://schemas.wps.cn/vas-ai-hub/contract-review">404</start>
      <end xmlns="http://schemas.wps.cn/vas-ai-hub/contract-review">405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a99a0ed4-f597-40e9-949e-e53d5298edf3</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1EA836BF</paraID>
      <start xmlns="http://schemas.wps.cn/vas-ai-hub/contract-review">420</start>
      <end xmlns="http://schemas.wps.cn/vas-ai-hub/contract-review">421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76d37214-13c5-4084-a059-3e591dafd7d0</errorID>
      <errorWord xmlns="http://schemas.wps.cn/vas-ai-hub/contract-review">要求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要</item>
      </candidateList>
      <explain xmlns="http://schemas.wps.cn/vas-ai-hub/contract-review">〈连〉❶如果：明天～下雨，我就不去了。❷要么：～就去打球，～就去溜冰，别再犹豫了。</explain>
      <paraID xmlns="http://schemas.wps.cn/vas-ai-hub/contract-review">6B34D9D6</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30398dbd-45ab-4b15-9d1e-deb72024dffe</errorID>
      <errorWord xmlns="http://schemas.wps.cn/vas-ai-hub/contract-review">要求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要</item>
      </candidateList>
      <explain xmlns="http://schemas.wps.cn/vas-ai-hub/contract-review">〈连〉❶如果：明天～下雨，我就不去了。❷要么：～就去打球，～就去溜冰，别再犹豫了。</explain>
      <paraID xmlns="http://schemas.wps.cn/vas-ai-hub/contract-review">59CD2B48</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df57295d-a58f-481d-af29-86adf46aecd1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”时</item>
      </candidateList>
      <explain xmlns="http://schemas.wps.cn/vas-ai-hub/contract-review"/>
      <paraID xmlns="http://schemas.wps.cn/vas-ai-hub/contract-review">59CD2B48</paraID>
      <start xmlns="http://schemas.wps.cn/vas-ai-hub/contract-review">118</start>
      <end xmlns="http://schemas.wps.cn/vas-ai-hub/contract-review">120</end>
      <status xmlns="http://schemas.wps.cn/vas-ai-hub/contract-review">modified</status>
      <modifiedWord xmlns="http://schemas.wps.cn/vas-ai-hub/contract-review">”时</modifiedWord>
      <trackRevisions xmlns="http://schemas.wps.cn/vas-ai-hub/contract-review">false</trackRevisions>
    </reviewItem>
    <reviewItem xmlns="http://schemas.wps.cn/vas-ai-hub/contract-review">
      <errorID xmlns="http://schemas.wps.cn/vas-ai-hub/contract-review">094d939a-8c0b-4d22-974f-6367f60c434c</errorID>
      <errorWord xmlns="http://schemas.wps.cn/vas-ai-hub/contract-review">随着</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，随着</item>
      </candidateList>
      <explain xmlns="http://schemas.wps.cn/vas-ai-hub/contract-review"/>
      <paraID xmlns="http://schemas.wps.cn/vas-ai-hub/contract-review">59CD2B48</paraID>
      <start xmlns="http://schemas.wps.cn/vas-ai-hub/contract-review">121</start>
      <end xmlns="http://schemas.wps.cn/vas-ai-hub/contract-review">124</end>
      <status xmlns="http://schemas.wps.cn/vas-ai-hub/contract-review">modified</status>
      <modifiedWord xmlns="http://schemas.wps.cn/vas-ai-hub/contract-review">，随着</modifiedWord>
      <trackRevisions xmlns="http://schemas.wps.cn/vas-ai-hub/contract-review">false</trackRevisions>
    </reviewItem>
    <reviewItem xmlns="http://schemas.wps.cn/vas-ai-hub/contract-review">
      <errorID xmlns="http://schemas.wps.cn/vas-ai-hub/contract-review">a5e40b0b-4c99-4e9e-b3cf-6a386408f795</errorID>
      <errorWord xmlns="http://schemas.wps.cn/vas-ai-hub/contract-review">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提下</item>
      </candidateList>
      <explain xmlns="http://schemas.wps.cn/vas-ai-hub/contract-review"/>
      <paraID xmlns="http://schemas.wps.cn/vas-ai-hub/contract-review">59CD2B48</paraID>
      <start xmlns="http://schemas.wps.cn/vas-ai-hub/contract-review">153</start>
      <end xmlns="http://schemas.wps.cn/vas-ai-hub/contract-review">154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d9583dd3-23b2-48fb-900a-9622178d9920</errorID>
      <errorWord xmlns="http://schemas.wps.cn/vas-ai-hub/contract-review">要求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要</item>
      </candidateList>
      <explain xmlns="http://schemas.wps.cn/vas-ai-hub/contract-review">〈连〉❶如果：明天～下雨，我就不去了。❷要么：～就去打球，～就去溜冰，别再犹豫了。</explain>
      <paraID xmlns="http://schemas.wps.cn/vas-ai-hub/contract-review">6FDFCD11</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8dddd5ed-6b5a-4e81-9621-2f41cc41259c</errorID>
      <errorWord xmlns="http://schemas.wps.cn/vas-ai-hub/contract-review">“双碳”战略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“双碳”目标</item>
      </candidateList>
      <explain xmlns="http://schemas.wps.cn/vas-ai-hub/contract-review"/>
      <paraID xmlns="http://schemas.wps.cn/vas-ai-hub/contract-review">33F7B5F0</paraID>
      <start xmlns="http://schemas.wps.cn/vas-ai-hub/contract-review">5</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b4b1eeb5-2983-4145-aa67-a4051805138f</errorID>
      <errorWord xmlns="http://schemas.wps.cn/vas-ai-hub/contract-review">“双碳”战略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“双碳”目标</item>
      </candidateList>
      <explain xmlns="http://schemas.wps.cn/vas-ai-hub/contract-review"/>
      <paraID xmlns="http://schemas.wps.cn/vas-ai-hub/contract-review">33F7B5F0</paraID>
      <start xmlns="http://schemas.wps.cn/vas-ai-hub/contract-review">37</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1010aef0-f304-4634-bd95-e4e96333476d</errorID>
      <errorWord xmlns="http://schemas.wps.cn/vas-ai-hub/contract-review">聚焦</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按照聚焦</item>
      </candidateList>
      <explain xmlns="http://schemas.wps.cn/vas-ai-hub/contract-review"/>
      <paraID xmlns="http://schemas.wps.cn/vas-ai-hub/contract-review">65007506</paraID>
      <start xmlns="http://schemas.wps.cn/vas-ai-hub/contract-review">95</start>
      <end xmlns="http://schemas.wps.cn/vas-ai-hub/contract-review">97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6a4532a6-dafa-4203-ac6f-8937584bee4e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65007506</paraID>
      <start xmlns="http://schemas.wps.cn/vas-ai-hub/contract-review">191</start>
      <end xmlns="http://schemas.wps.cn/vas-ai-hub/contract-review">193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84c482ad-fb1f-45ba-a4aa-9edb15e5af5c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65007506</paraID>
      <start xmlns="http://schemas.wps.cn/vas-ai-hub/contract-review">200</start>
      <end xmlns="http://schemas.wps.cn/vas-ai-hub/contract-review">202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70b75dd0-3641-4a63-9db5-9a9656af3d48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65007506</paraID>
      <start xmlns="http://schemas.wps.cn/vas-ai-hub/contract-review">209</start>
      <end xmlns="http://schemas.wps.cn/vas-ai-hub/contract-review">211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fffd525f-998d-4a7f-9d5b-9248143f591f</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1562BEE1</paraID>
      <start xmlns="http://schemas.wps.cn/vas-ai-hub/contract-review">66</start>
      <end xmlns="http://schemas.wps.cn/vas-ai-hub/contract-review">67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ead72440-5a55-4fa3-8976-8706e063a445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6F0A3507</paraID>
      <start xmlns="http://schemas.wps.cn/vas-ai-hub/contract-review">186</start>
      <end xmlns="http://schemas.wps.cn/vas-ai-hub/contract-review">187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bb01ca4d-561f-4376-81f9-f19af4f3fc51</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3C70BD6E</paraID>
      <start xmlns="http://schemas.wps.cn/vas-ai-hub/contract-review">60</start>
      <end xmlns="http://schemas.wps.cn/vas-ai-hub/contract-review">61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c14da35b-667a-410d-a6a6-a52462441375</errorID>
      <errorWord xmlns="http://schemas.wps.cn/vas-ai-hub/contract-review">农村公路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的农村公路</item>
      </candidateList>
      <explain xmlns="http://schemas.wps.cn/vas-ai-hub/contract-review"/>
      <paraID xmlns="http://schemas.wps.cn/vas-ai-hub/contract-review">45398BD5</paraID>
      <start xmlns="http://schemas.wps.cn/vas-ai-hub/contract-review">127</start>
      <end xmlns="http://schemas.wps.cn/vas-ai-hub/contract-review">131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61c05488-3501-4238-b04f-2828111503e6</errorID>
      <errorWord xmlns="http://schemas.wps.cn/vas-ai-hub/contract-review">基础设施数字化升级</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基础设施数智化升级</item>
      </candidateList>
      <explain xmlns="http://schemas.wps.cn/vas-ai-hub/contract-review">词汇“基础设施数智化升级”在特定场景下为固定表述形式，请确认此处的“基础设施数字化升级”是否存在不当。</explain>
      <paraID xmlns="http://schemas.wps.cn/vas-ai-hub/contract-review">1024BE7B</paraID>
      <start xmlns="http://schemas.wps.cn/vas-ai-hub/contract-review">5</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04327c40-69f0-452d-bc7f-be4f4ce56cca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2F85F522</paraID>
      <start xmlns="http://schemas.wps.cn/vas-ai-hub/contract-review">48</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724984f8-c071-42c9-b7bc-bafa47876c84</errorID>
      <errorWord xmlns="http://schemas.wps.cn/vas-ai-hub/contract-review">“双碳”战略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“双碳”目标</item>
      </candidateList>
      <explain xmlns="http://schemas.wps.cn/vas-ai-hub/contract-review"/>
      <paraID xmlns="http://schemas.wps.cn/vas-ai-hub/contract-review"> 35008D5</paraID>
      <start xmlns="http://schemas.wps.cn/vas-ai-hub/contract-review">4</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9df432ab-cbcf-45af-bee1-e7b004d2b0fa</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，实现良性互动。</item>
      </candidateList>
      <explain xmlns="http://schemas.wps.cn/vas-ai-hub/contract-review"/>
      <paraID xmlns="http://schemas.wps.cn/vas-ai-hub/contract-review">66AC1881</paraID>
      <start xmlns="http://schemas.wps.cn/vas-ai-hub/contract-review">79</start>
      <end xmlns="http://schemas.wps.cn/vas-ai-hub/contract-review">87</end>
      <status xmlns="http://schemas.wps.cn/vas-ai-hub/contract-review">modified</status>
      <modifiedWord xmlns="http://schemas.wps.cn/vas-ai-hub/contract-review">，实现良性互动。</modifiedWord>
      <trackRevisions xmlns="http://schemas.wps.cn/vas-ai-hub/contract-review">false</trackRevisions>
    </reviewItem>
    <reviewItem xmlns="http://schemas.wps.cn/vas-ai-hub/contract-review">
      <errorID xmlns="http://schemas.wps.cn/vas-ai-hub/contract-review">19813123-30a2-4fd7-903c-21e132697538</errorID>
      <errorWord xmlns="http://schemas.wps.cn/vas-ai-hub/contract-review">一支队伍高效执法</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“一支队伍高效执法”</item>
      </candidateList>
      <explain xmlns="http://schemas.wps.cn/vas-ai-hub/contract-review"/>
      <paraID xmlns="http://schemas.wps.cn/vas-ai-hub/contract-review">71DF37A9</paraID>
      <start xmlns="http://schemas.wps.cn/vas-ai-hub/contract-review">12</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62cb4c60-7478-40ee-b8ac-eb83309efae0</errorID>
      <errorWord xmlns="http://schemas.wps.cn/vas-ai-hub/contract-review">规范涉企执法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涉企执法规范</item>
      </candidateList>
      <explain xmlns="http://schemas.wps.cn/vas-ai-hub/contract-review"/>
      <paraID xmlns="http://schemas.wps.cn/vas-ai-hub/contract-review">71DF37A9</paraID>
      <start xmlns="http://schemas.wps.cn/vas-ai-hub/contract-review">100</start>
      <end xmlns="http://schemas.wps.cn/vas-ai-hub/contract-review">106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63140312-f93c-4ede-86fb-4d68f2ac8023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17283AD0</paraID>
      <start xmlns="http://schemas.wps.cn/vas-ai-hub/contract-review">200</start>
      <end xmlns="http://schemas.wps.cn/vas-ai-hub/contract-review">201</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3e6fa7a7-fe04-44d1-a843-592dd4f43427}">
  <ds:schemaRefs/>
</ds:datastoreItem>
</file>

<file path=customXml/itemProps2.xml><?xml version="1.0" encoding="utf-8"?>
<ds:datastoreItem xmlns:ds="http://schemas.openxmlformats.org/officeDocument/2006/customXml" ds:itemID="{7E68046D-B3F9-48AA-B73E-C0671D21FCB6}">
  <ds:schemaRefs/>
</ds:datastoreItem>
</file>

<file path=docProps/app.xml><?xml version="1.0" encoding="utf-8"?>
<Properties xmlns="http://schemas.openxmlformats.org/officeDocument/2006/extended-properties" xmlns:vt="http://schemas.openxmlformats.org/officeDocument/2006/docPropsVTypes">
  <Template>Normal</Template>
  <Pages>30</Pages>
  <Words>12718</Words>
  <Characters>13033</Characters>
  <Lines>97</Lines>
  <Paragraphs>27</Paragraphs>
  <TotalTime>38</TotalTime>
  <ScaleCrop>false</ScaleCrop>
  <LinksUpToDate>false</LinksUpToDate>
  <CharactersWithSpaces>13083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2026-03-31T10:11:00Z</dcterms:created>
  <dc:creator>杨东</dc:creator>
  <cp:lastModifiedBy>greatwall</cp:lastModifiedBy>
  <cp:lastPrinted>2026-03-24T16:56:00Z</cp:lastPrinted>
  <dcterms:modified xsi:type="dcterms:W3CDTF">2026-04-20T10:37:58Z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eyJoZGlkIjoiODFiZjVjZDEwZTdkNWNkMDAwNjRhNDZjZTU0NWFlOWUiLCJ1c2VySWQiOiI0MjI5Mjg0MTcifQ==</vt:lpwstr>
  </property>
  <property fmtid="{D5CDD505-2E9C-101B-9397-08002B2CF9AE}" pid="3" name="KSOProductBuildVer">
    <vt:lpwstr>2052-12.1.2.24722</vt:lpwstr>
  </property>
  <property fmtid="{D5CDD505-2E9C-101B-9397-08002B2CF9AE}" pid="4" name="ICV">
    <vt:lpwstr>75B3310C529C4BA39DF126D94BE7D36F_13</vt:lpwstr>
  </property>
</Properties>
</file>